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F858F" w14:textId="77777777" w:rsidR="00E27CC1" w:rsidRPr="00301D8F" w:rsidRDefault="00E27CC1" w:rsidP="00301D8F">
      <w:pPr>
        <w:spacing w:before="240"/>
        <w:rPr>
          <w:rFonts w:ascii="Arial" w:eastAsiaTheme="majorEastAsia" w:hAnsi="Arial" w:cstheme="majorBidi"/>
          <w:bCs/>
          <w:caps/>
          <w:color w:val="004066" w:themeColor="accent1" w:themeShade="BF"/>
          <w:sz w:val="20"/>
          <w:szCs w:val="20"/>
        </w:rPr>
      </w:pPr>
      <w:bookmarkStart w:id="0" w:name="_Toc465779643"/>
      <w:r w:rsidRPr="00301D8F">
        <w:rPr>
          <w:rFonts w:ascii="Arial" w:eastAsiaTheme="majorEastAsia" w:hAnsi="Arial" w:cstheme="majorBidi"/>
          <w:bCs/>
          <w:caps/>
          <w:color w:val="004066" w:themeColor="accent1" w:themeShade="BF"/>
          <w:sz w:val="20"/>
          <w:szCs w:val="20"/>
        </w:rPr>
        <w:t>POSITION DESCRIPTION</w:t>
      </w:r>
      <w:bookmarkEnd w:id="0"/>
    </w:p>
    <w:p w14:paraId="7DE379B1" w14:textId="58C988ED" w:rsidR="00E27CC1" w:rsidRPr="00301D8F" w:rsidRDefault="00C801FC" w:rsidP="00E27CC1">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color w:val="004066" w:themeColor="accent1" w:themeShade="BF"/>
          <w:sz w:val="26"/>
          <w:szCs w:val="24"/>
        </w:rPr>
      </w:pPr>
      <w:bookmarkStart w:id="1" w:name="_under_secretary_of_2"/>
      <w:bookmarkStart w:id="2" w:name="_Toc465846344"/>
      <w:bookmarkEnd w:id="1"/>
      <w:r w:rsidRPr="00301D8F">
        <w:rPr>
          <w:rFonts w:ascii="Arial" w:eastAsiaTheme="majorEastAsia" w:hAnsi="Arial" w:cstheme="majorBidi"/>
          <w:b/>
          <w:bCs/>
          <w:caps/>
          <w:color w:val="004066" w:themeColor="accent1" w:themeShade="BF"/>
          <w:sz w:val="26"/>
          <w:szCs w:val="24"/>
        </w:rPr>
        <w:t xml:space="preserve">air force </w:t>
      </w:r>
      <w:r w:rsidR="00E27CC1" w:rsidRPr="00301D8F">
        <w:rPr>
          <w:rFonts w:ascii="Arial" w:eastAsiaTheme="majorEastAsia" w:hAnsi="Arial" w:cstheme="majorBidi"/>
          <w:b/>
          <w:bCs/>
          <w:caps/>
          <w:color w:val="004066" w:themeColor="accent1" w:themeShade="BF"/>
          <w:sz w:val="26"/>
          <w:szCs w:val="24"/>
        </w:rPr>
        <w:t>undersecretary, Department of defense</w:t>
      </w:r>
      <w:bookmarkEnd w:id="2"/>
    </w:p>
    <w:p w14:paraId="1AC064BA" w14:textId="77777777" w:rsidR="00E27CC1" w:rsidRPr="002128DF" w:rsidRDefault="00E27CC1" w:rsidP="00E27CC1"/>
    <w:tbl>
      <w:tblPr>
        <w:tblStyle w:val="TableGrid"/>
        <w:tblW w:w="9720" w:type="dxa"/>
        <w:tblInd w:w="-3" w:type="dxa"/>
        <w:tblCellMar>
          <w:top w:w="58" w:type="dxa"/>
          <w:left w:w="115" w:type="dxa"/>
          <w:bottom w:w="58" w:type="dxa"/>
          <w:right w:w="115" w:type="dxa"/>
        </w:tblCellMar>
        <w:tblLook w:val="04A0" w:firstRow="1" w:lastRow="0" w:firstColumn="1" w:lastColumn="0" w:noHBand="0" w:noVBand="1"/>
      </w:tblPr>
      <w:tblGrid>
        <w:gridCol w:w="2779"/>
        <w:gridCol w:w="6941"/>
      </w:tblGrid>
      <w:tr w:rsidR="00E27CC1" w:rsidRPr="00D01FCD" w14:paraId="28C7E345" w14:textId="77777777" w:rsidTr="00301D8F">
        <w:tc>
          <w:tcPr>
            <w:tcW w:w="972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61E4FCEC" w14:textId="77777777" w:rsidR="00E27CC1" w:rsidRPr="00D01FCD" w:rsidRDefault="00E27CC1" w:rsidP="00E64386">
            <w:pPr>
              <w:contextualSpacing/>
              <w:jc w:val="center"/>
              <w:rPr>
                <w:rFonts w:asciiTheme="majorHAnsi" w:hAnsiTheme="majorHAnsi" w:cstheme="majorHAnsi"/>
                <w:b/>
              </w:rPr>
            </w:pPr>
            <w:r w:rsidRPr="00D01FCD">
              <w:rPr>
                <w:rFonts w:asciiTheme="majorHAnsi" w:hAnsiTheme="majorHAnsi" w:cstheme="majorHAnsi"/>
                <w:b/>
              </w:rPr>
              <w:t>OVERVIEW</w:t>
            </w:r>
          </w:p>
        </w:tc>
      </w:tr>
      <w:tr w:rsidR="00E27CC1" w:rsidRPr="00D01FCD" w14:paraId="3C206B3E" w14:textId="77777777" w:rsidTr="00301D8F">
        <w:tc>
          <w:tcPr>
            <w:tcW w:w="277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766995F" w14:textId="77777777" w:rsidR="00E27CC1" w:rsidRPr="00D01FCD" w:rsidRDefault="00E27CC1" w:rsidP="00E64386">
            <w:pPr>
              <w:contextualSpacing/>
              <w:rPr>
                <w:rFonts w:asciiTheme="majorHAnsi" w:hAnsiTheme="majorHAnsi" w:cstheme="majorHAnsi"/>
              </w:rPr>
            </w:pPr>
            <w:r w:rsidRPr="00D01FCD">
              <w:rPr>
                <w:rFonts w:asciiTheme="majorHAnsi" w:hAnsiTheme="majorHAnsi" w:cstheme="majorHAnsi"/>
              </w:rPr>
              <w:t>Senate Committee</w:t>
            </w:r>
          </w:p>
        </w:tc>
        <w:tc>
          <w:tcPr>
            <w:tcW w:w="6941" w:type="dxa"/>
            <w:tcBorders>
              <w:top w:val="single" w:sz="2" w:space="0" w:color="auto"/>
              <w:left w:val="single" w:sz="2" w:space="0" w:color="auto"/>
              <w:bottom w:val="single" w:sz="2" w:space="0" w:color="auto"/>
              <w:right w:val="single" w:sz="2" w:space="0" w:color="auto"/>
            </w:tcBorders>
          </w:tcPr>
          <w:p w14:paraId="56169A0B" w14:textId="77777777" w:rsidR="00E27CC1" w:rsidRPr="00D01FCD" w:rsidRDefault="00E27CC1" w:rsidP="00E64386">
            <w:pPr>
              <w:contextualSpacing/>
              <w:rPr>
                <w:rFonts w:asciiTheme="majorHAnsi" w:hAnsiTheme="majorHAnsi" w:cstheme="majorHAnsi"/>
                <w:bCs/>
              </w:rPr>
            </w:pPr>
            <w:r w:rsidRPr="00D01FCD">
              <w:rPr>
                <w:rFonts w:asciiTheme="majorHAnsi" w:hAnsiTheme="majorHAnsi" w:cstheme="majorHAnsi"/>
                <w:bCs/>
              </w:rPr>
              <w:t>Armed Services</w:t>
            </w:r>
          </w:p>
        </w:tc>
      </w:tr>
      <w:tr w:rsidR="00E27CC1" w:rsidRPr="00D01FCD" w14:paraId="14E512F0" w14:textId="77777777" w:rsidTr="00301D8F">
        <w:tc>
          <w:tcPr>
            <w:tcW w:w="277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2BEFBCB" w14:textId="77777777" w:rsidR="00E27CC1" w:rsidRPr="00D01FCD" w:rsidRDefault="00E27CC1" w:rsidP="00E64386">
            <w:pPr>
              <w:contextualSpacing/>
              <w:rPr>
                <w:rFonts w:asciiTheme="majorHAnsi" w:hAnsiTheme="majorHAnsi" w:cstheme="majorHAnsi"/>
              </w:rPr>
            </w:pPr>
            <w:r w:rsidRPr="00D01FCD">
              <w:rPr>
                <w:rFonts w:asciiTheme="majorHAnsi" w:hAnsiTheme="majorHAnsi" w:cstheme="majorHAnsi"/>
              </w:rPr>
              <w:t>Agency Mission</w:t>
            </w:r>
          </w:p>
        </w:tc>
        <w:tc>
          <w:tcPr>
            <w:tcW w:w="6941" w:type="dxa"/>
            <w:tcBorders>
              <w:top w:val="single" w:sz="2" w:space="0" w:color="auto"/>
              <w:left w:val="single" w:sz="2" w:space="0" w:color="auto"/>
              <w:bottom w:val="single" w:sz="2" w:space="0" w:color="auto"/>
              <w:right w:val="single" w:sz="2" w:space="0" w:color="auto"/>
            </w:tcBorders>
          </w:tcPr>
          <w:p w14:paraId="33CE8585" w14:textId="77777777" w:rsidR="00E27CC1" w:rsidRPr="00D01FCD" w:rsidRDefault="00E27CC1" w:rsidP="00E64386">
            <w:pPr>
              <w:contextualSpacing/>
              <w:rPr>
                <w:rFonts w:asciiTheme="majorHAnsi" w:hAnsiTheme="majorHAnsi" w:cstheme="majorHAnsi"/>
              </w:rPr>
            </w:pPr>
            <w:r w:rsidRPr="00D01FCD">
              <w:rPr>
                <w:rFonts w:asciiTheme="majorHAnsi" w:hAnsiTheme="majorHAnsi" w:cstheme="majorHAnsi"/>
              </w:rPr>
              <w:t xml:space="preserve">The mission of the United States Air Force is to fly, fight and win in air, space and cyberspace. Airmen pursue their mission with excellence and integrity to become leaders, innovators and warriors. </w:t>
            </w:r>
          </w:p>
        </w:tc>
      </w:tr>
      <w:tr w:rsidR="00E27CC1" w:rsidRPr="00D01FCD" w14:paraId="4487F88D" w14:textId="77777777" w:rsidTr="00301D8F">
        <w:tc>
          <w:tcPr>
            <w:tcW w:w="277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3144FF0" w14:textId="77777777" w:rsidR="00E27CC1" w:rsidRPr="00D01FCD" w:rsidRDefault="00E27CC1" w:rsidP="00E64386">
            <w:pPr>
              <w:contextualSpacing/>
              <w:rPr>
                <w:rFonts w:asciiTheme="majorHAnsi" w:hAnsiTheme="majorHAnsi" w:cstheme="majorHAnsi"/>
              </w:rPr>
            </w:pPr>
            <w:r w:rsidRPr="00D01FCD">
              <w:rPr>
                <w:rFonts w:asciiTheme="majorHAnsi" w:hAnsiTheme="majorHAnsi" w:cstheme="majorHAnsi"/>
              </w:rPr>
              <w:t>Position Overview</w:t>
            </w:r>
          </w:p>
        </w:tc>
        <w:tc>
          <w:tcPr>
            <w:tcW w:w="6941" w:type="dxa"/>
            <w:tcBorders>
              <w:top w:val="single" w:sz="2" w:space="0" w:color="auto"/>
              <w:left w:val="single" w:sz="2" w:space="0" w:color="auto"/>
              <w:bottom w:val="single" w:sz="2" w:space="0" w:color="auto"/>
              <w:right w:val="single" w:sz="2" w:space="0" w:color="auto"/>
            </w:tcBorders>
          </w:tcPr>
          <w:p w14:paraId="2D4B805B" w14:textId="43318B54" w:rsidR="0020648D" w:rsidRPr="00D01FCD" w:rsidRDefault="0020648D" w:rsidP="00E64386">
            <w:pPr>
              <w:contextualSpacing/>
              <w:rPr>
                <w:rFonts w:asciiTheme="majorHAnsi" w:hAnsiTheme="majorHAnsi" w:cstheme="majorHAnsi"/>
              </w:rPr>
            </w:pPr>
            <w:r w:rsidRPr="00D01FCD">
              <w:rPr>
                <w:rFonts w:asciiTheme="majorHAnsi" w:hAnsiTheme="majorHAnsi" w:cstheme="majorHAnsi"/>
                <w:bCs/>
              </w:rPr>
              <w:t xml:space="preserve">The undersecretary of the Air Force is responsible for all Air Force affairs on behalf of the secretary of the Air Force, including matters pertaining to the organization, training, logistical support, maintenance, welfare of personnel, administration, recruiting, research and development, and other activities prescribed by the president or secretary of defense. This individual serves as acting secretary of the Air Force in the secretary’s absence. </w:t>
            </w:r>
            <w:r w:rsidRPr="00D01FCD">
              <w:rPr>
                <w:rFonts w:asciiTheme="majorHAnsi" w:hAnsiTheme="majorHAnsi" w:cstheme="majorHAnsi"/>
              </w:rPr>
              <w:t>In accordance with Section 904(b) of the National Defense Authorization Act for Fiscal Year 2008</w:t>
            </w:r>
            <w:r w:rsidRPr="00D01FCD">
              <w:rPr>
                <w:rFonts w:asciiTheme="majorHAnsi" w:hAnsiTheme="majorHAnsi" w:cstheme="majorHAnsi"/>
                <w:bCs/>
              </w:rPr>
              <w:t>, the undersecretary serves as the chief management officer of the Air Force.</w:t>
            </w:r>
          </w:p>
        </w:tc>
      </w:tr>
      <w:tr w:rsidR="00E27CC1" w:rsidRPr="00D01FCD" w14:paraId="64B0B054" w14:textId="77777777" w:rsidTr="00301D8F">
        <w:tc>
          <w:tcPr>
            <w:tcW w:w="277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F571CBB" w14:textId="77777777" w:rsidR="00E27CC1" w:rsidRPr="00D01FCD" w:rsidRDefault="00E27CC1" w:rsidP="00E64386">
            <w:pPr>
              <w:contextualSpacing/>
              <w:rPr>
                <w:rFonts w:asciiTheme="majorHAnsi" w:hAnsiTheme="majorHAnsi" w:cstheme="majorHAnsi"/>
              </w:rPr>
            </w:pPr>
            <w:r w:rsidRPr="00D01FCD">
              <w:rPr>
                <w:rFonts w:asciiTheme="majorHAnsi" w:hAnsiTheme="majorHAnsi" w:cstheme="majorHAnsi"/>
              </w:rPr>
              <w:t>Compensation</w:t>
            </w:r>
          </w:p>
        </w:tc>
        <w:tc>
          <w:tcPr>
            <w:tcW w:w="6941" w:type="dxa"/>
            <w:tcBorders>
              <w:top w:val="single" w:sz="2" w:space="0" w:color="auto"/>
              <w:left w:val="single" w:sz="2" w:space="0" w:color="auto"/>
              <w:bottom w:val="single" w:sz="2" w:space="0" w:color="auto"/>
              <w:right w:val="single" w:sz="2" w:space="0" w:color="auto"/>
            </w:tcBorders>
          </w:tcPr>
          <w:p w14:paraId="3BF5EDCD" w14:textId="307644CD" w:rsidR="00E27CC1" w:rsidRPr="00D01FCD" w:rsidRDefault="00E27CC1" w:rsidP="00C6589D">
            <w:pPr>
              <w:contextualSpacing/>
              <w:rPr>
                <w:rFonts w:asciiTheme="majorHAnsi" w:hAnsiTheme="majorHAnsi" w:cstheme="majorHAnsi"/>
                <w:bCs/>
              </w:rPr>
            </w:pPr>
            <w:r w:rsidRPr="00D01FCD">
              <w:rPr>
                <w:rFonts w:asciiTheme="majorHAnsi" w:hAnsiTheme="majorHAnsi" w:cstheme="majorHAnsi"/>
                <w:bCs/>
              </w:rPr>
              <w:t>Level III $</w:t>
            </w:r>
            <w:r w:rsidR="00F0712A">
              <w:rPr>
                <w:rFonts w:asciiTheme="majorHAnsi" w:hAnsiTheme="majorHAnsi" w:cstheme="majorHAnsi"/>
                <w:bCs/>
              </w:rPr>
              <w:t>168,400</w:t>
            </w:r>
            <w:r w:rsidRPr="00D01FCD">
              <w:rPr>
                <w:rFonts w:asciiTheme="majorHAnsi" w:hAnsiTheme="majorHAnsi" w:cstheme="majorHAnsi"/>
                <w:bCs/>
              </w:rPr>
              <w:t xml:space="preserve"> (5 U.S.C. § 5314)</w:t>
            </w:r>
            <w:r w:rsidRPr="00D01FCD">
              <w:rPr>
                <w:rStyle w:val="EndnoteReference"/>
                <w:rFonts w:asciiTheme="majorHAnsi" w:hAnsiTheme="majorHAnsi" w:cstheme="majorHAnsi"/>
                <w:bCs/>
              </w:rPr>
              <w:endnoteReference w:id="1"/>
            </w:r>
          </w:p>
        </w:tc>
      </w:tr>
      <w:tr w:rsidR="00E27CC1" w:rsidRPr="00D01FCD" w14:paraId="236011C0" w14:textId="77777777" w:rsidTr="00301D8F">
        <w:tc>
          <w:tcPr>
            <w:tcW w:w="277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9698511" w14:textId="77777777" w:rsidR="00E27CC1" w:rsidRPr="00D01FCD" w:rsidRDefault="00E27CC1" w:rsidP="00E64386">
            <w:pPr>
              <w:contextualSpacing/>
              <w:rPr>
                <w:rFonts w:asciiTheme="majorHAnsi" w:hAnsiTheme="majorHAnsi" w:cstheme="majorHAnsi"/>
              </w:rPr>
            </w:pPr>
            <w:r w:rsidRPr="00D01FCD">
              <w:rPr>
                <w:rFonts w:asciiTheme="majorHAnsi" w:hAnsiTheme="majorHAnsi" w:cstheme="majorHAnsi"/>
              </w:rPr>
              <w:t>Position Reports to</w:t>
            </w:r>
          </w:p>
        </w:tc>
        <w:tc>
          <w:tcPr>
            <w:tcW w:w="6941" w:type="dxa"/>
            <w:tcBorders>
              <w:top w:val="single" w:sz="2" w:space="0" w:color="auto"/>
              <w:left w:val="single" w:sz="2" w:space="0" w:color="auto"/>
              <w:bottom w:val="single" w:sz="2" w:space="0" w:color="auto"/>
              <w:right w:val="single" w:sz="2" w:space="0" w:color="auto"/>
            </w:tcBorders>
          </w:tcPr>
          <w:p w14:paraId="1022D55D" w14:textId="77777777" w:rsidR="00E27CC1" w:rsidRPr="00D01FCD" w:rsidRDefault="00E27CC1" w:rsidP="00E64386">
            <w:pPr>
              <w:contextualSpacing/>
              <w:rPr>
                <w:rFonts w:asciiTheme="majorHAnsi" w:hAnsiTheme="majorHAnsi" w:cstheme="majorHAnsi"/>
              </w:rPr>
            </w:pPr>
            <w:r w:rsidRPr="00D01FCD">
              <w:rPr>
                <w:rFonts w:asciiTheme="majorHAnsi" w:hAnsiTheme="majorHAnsi" w:cstheme="majorHAnsi"/>
              </w:rPr>
              <w:t>Secretary of the Air Force</w:t>
            </w:r>
          </w:p>
        </w:tc>
      </w:tr>
      <w:tr w:rsidR="00E27CC1" w:rsidRPr="00D01FCD" w14:paraId="05DCD0CD" w14:textId="77777777" w:rsidTr="00301D8F">
        <w:tc>
          <w:tcPr>
            <w:tcW w:w="972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3795B8BC" w14:textId="77777777" w:rsidR="00E27CC1" w:rsidRPr="00D01FCD" w:rsidRDefault="00E27CC1" w:rsidP="00E64386">
            <w:pPr>
              <w:contextualSpacing/>
              <w:jc w:val="center"/>
              <w:rPr>
                <w:rFonts w:asciiTheme="majorHAnsi" w:hAnsiTheme="majorHAnsi" w:cstheme="majorHAnsi"/>
                <w:b/>
              </w:rPr>
            </w:pPr>
            <w:r w:rsidRPr="00D01FCD">
              <w:rPr>
                <w:rFonts w:asciiTheme="majorHAnsi" w:hAnsiTheme="majorHAnsi" w:cstheme="majorHAnsi"/>
                <w:b/>
              </w:rPr>
              <w:t>RESPONSIBILITIES</w:t>
            </w:r>
          </w:p>
        </w:tc>
      </w:tr>
      <w:tr w:rsidR="00E27CC1" w:rsidRPr="00D01FCD" w14:paraId="70D22631" w14:textId="77777777" w:rsidTr="00301D8F">
        <w:tc>
          <w:tcPr>
            <w:tcW w:w="277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3430D69" w14:textId="77777777" w:rsidR="00E27CC1" w:rsidRPr="00D01FCD" w:rsidRDefault="00E27CC1" w:rsidP="00E64386">
            <w:pPr>
              <w:contextualSpacing/>
              <w:rPr>
                <w:rFonts w:asciiTheme="majorHAnsi" w:hAnsiTheme="majorHAnsi" w:cstheme="majorHAnsi"/>
              </w:rPr>
            </w:pPr>
            <w:r w:rsidRPr="00D01FCD">
              <w:rPr>
                <w:rFonts w:asciiTheme="majorHAnsi" w:hAnsiTheme="majorHAnsi" w:cstheme="majorHAnsi"/>
              </w:rPr>
              <w:t>Management Scope</w:t>
            </w:r>
          </w:p>
        </w:tc>
        <w:tc>
          <w:tcPr>
            <w:tcW w:w="6941" w:type="dxa"/>
            <w:tcBorders>
              <w:top w:val="single" w:sz="2" w:space="0" w:color="auto"/>
              <w:left w:val="single" w:sz="2" w:space="0" w:color="auto"/>
              <w:bottom w:val="single" w:sz="2" w:space="0" w:color="auto"/>
              <w:right w:val="single" w:sz="2" w:space="0" w:color="auto"/>
            </w:tcBorders>
          </w:tcPr>
          <w:p w14:paraId="4400D256" w14:textId="69F648F2" w:rsidR="00996BB9" w:rsidRPr="00D01FCD" w:rsidRDefault="00996BB9" w:rsidP="00996BB9">
            <w:pPr>
              <w:contextualSpacing/>
              <w:rPr>
                <w:rFonts w:asciiTheme="majorHAnsi" w:hAnsiTheme="majorHAnsi" w:cstheme="majorHAnsi"/>
                <w:bCs/>
              </w:rPr>
            </w:pPr>
            <w:r w:rsidRPr="00D01FCD">
              <w:rPr>
                <w:rFonts w:asciiTheme="majorHAnsi" w:hAnsiTheme="majorHAnsi" w:cstheme="majorHAnsi"/>
                <w:bCs/>
              </w:rPr>
              <w:t>On behalf of the secretary of the Air Force, the undersecretary oversees the management and oversight of the Air Force’s</w:t>
            </w:r>
            <w:r w:rsidR="00E27CC1" w:rsidRPr="00D01FCD">
              <w:rPr>
                <w:rFonts w:asciiTheme="majorHAnsi" w:hAnsiTheme="majorHAnsi" w:cstheme="majorHAnsi"/>
                <w:bCs/>
              </w:rPr>
              <w:t xml:space="preserve"> </w:t>
            </w:r>
            <w:r w:rsidR="00F22775">
              <w:rPr>
                <w:rFonts w:asciiTheme="majorHAnsi" w:hAnsiTheme="majorHAnsi" w:cstheme="majorHAnsi"/>
                <w:bCs/>
              </w:rPr>
              <w:t>685,000</w:t>
            </w:r>
            <w:r w:rsidR="00E27CC1" w:rsidRPr="00D01FCD">
              <w:rPr>
                <w:rFonts w:asciiTheme="majorHAnsi" w:hAnsiTheme="majorHAnsi" w:cstheme="majorHAnsi"/>
                <w:bCs/>
              </w:rPr>
              <w:t xml:space="preserve"> </w:t>
            </w:r>
            <w:r w:rsidRPr="00D01FCD">
              <w:rPr>
                <w:rFonts w:asciiTheme="majorHAnsi" w:hAnsiTheme="majorHAnsi" w:cstheme="majorHAnsi"/>
                <w:bCs/>
              </w:rPr>
              <w:t xml:space="preserve">military and civilian personnel and </w:t>
            </w:r>
            <w:r w:rsidR="00E27CC1" w:rsidRPr="00D01FCD">
              <w:rPr>
                <w:rFonts w:asciiTheme="majorHAnsi" w:hAnsiTheme="majorHAnsi" w:cstheme="majorHAnsi"/>
                <w:bCs/>
              </w:rPr>
              <w:t>budget of about $16</w:t>
            </w:r>
            <w:r w:rsidR="00F22775">
              <w:rPr>
                <w:rFonts w:asciiTheme="majorHAnsi" w:hAnsiTheme="majorHAnsi" w:cstheme="majorHAnsi"/>
                <w:bCs/>
              </w:rPr>
              <w:t>6</w:t>
            </w:r>
            <w:r w:rsidR="00E27CC1" w:rsidRPr="00D01FCD">
              <w:rPr>
                <w:rFonts w:asciiTheme="majorHAnsi" w:hAnsiTheme="majorHAnsi" w:cstheme="majorHAnsi"/>
                <w:bCs/>
              </w:rPr>
              <w:t xml:space="preserve"> billion.</w:t>
            </w:r>
            <w:r w:rsidR="00F0712A">
              <w:rPr>
                <w:rFonts w:asciiTheme="majorHAnsi" w:hAnsiTheme="majorHAnsi" w:cstheme="majorHAnsi"/>
                <w:bCs/>
              </w:rPr>
              <w:t xml:space="preserve"> </w:t>
            </w:r>
            <w:r w:rsidRPr="00D01FCD">
              <w:rPr>
                <w:rFonts w:asciiTheme="majorHAnsi" w:hAnsiTheme="majorHAnsi" w:cstheme="majorHAnsi"/>
                <w:bCs/>
              </w:rPr>
              <w:t>Designated by law as the chief management officer</w:t>
            </w:r>
            <w:r w:rsidR="00BF02F1" w:rsidRPr="00D01FCD">
              <w:rPr>
                <w:rFonts w:asciiTheme="majorHAnsi" w:hAnsiTheme="majorHAnsi" w:cstheme="majorHAnsi"/>
                <w:bCs/>
              </w:rPr>
              <w:t>, the unders</w:t>
            </w:r>
            <w:r w:rsidRPr="00D01FCD">
              <w:rPr>
                <w:rFonts w:asciiTheme="majorHAnsi" w:hAnsiTheme="majorHAnsi" w:cstheme="majorHAnsi"/>
                <w:bCs/>
              </w:rPr>
              <w:t>ecretary is responsible for the management of business operations for the service.</w:t>
            </w:r>
          </w:p>
          <w:p w14:paraId="709CDF87" w14:textId="77777777" w:rsidR="00996BB9" w:rsidRPr="00D01FCD" w:rsidRDefault="00996BB9" w:rsidP="00996BB9">
            <w:pPr>
              <w:contextualSpacing/>
              <w:rPr>
                <w:rFonts w:asciiTheme="majorHAnsi" w:hAnsiTheme="majorHAnsi" w:cstheme="majorHAnsi"/>
                <w:bCs/>
              </w:rPr>
            </w:pPr>
          </w:p>
          <w:p w14:paraId="3E662CD1" w14:textId="6E91F625" w:rsidR="00E27CC1" w:rsidRPr="00D01FCD" w:rsidRDefault="00E27CC1" w:rsidP="00996BB9">
            <w:pPr>
              <w:contextualSpacing/>
              <w:rPr>
                <w:rFonts w:asciiTheme="majorHAnsi" w:hAnsiTheme="majorHAnsi" w:cstheme="majorHAnsi"/>
                <w:bCs/>
              </w:rPr>
            </w:pPr>
            <w:r w:rsidRPr="00D01FCD">
              <w:rPr>
                <w:rFonts w:asciiTheme="majorHAnsi" w:hAnsiTheme="majorHAnsi" w:cstheme="majorHAnsi"/>
                <w:bCs/>
              </w:rPr>
              <w:t>The USECAF has several direct reports: the deputy undersecretary of the Air Force (Space Programs); the deputy undersecretary of the Air Force (International Affairs); the Directorate of Space Acquisition; the National Security Space Office; the Office of Small Business Programs of the Department of the Air Force and the deputy chief management officer. The Air Force Program executive officer for the Space Radar Program and the Air Force Program executive officer for environmental satellites also report directly to the USECAF.</w:t>
            </w:r>
          </w:p>
        </w:tc>
      </w:tr>
      <w:tr w:rsidR="00E27CC1" w:rsidRPr="00D01FCD" w14:paraId="7CCD2320" w14:textId="77777777" w:rsidTr="00301D8F">
        <w:tc>
          <w:tcPr>
            <w:tcW w:w="277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9101598" w14:textId="77777777" w:rsidR="00E27CC1" w:rsidRPr="00D01FCD" w:rsidRDefault="00E27CC1" w:rsidP="00E64386">
            <w:pPr>
              <w:contextualSpacing/>
              <w:rPr>
                <w:rFonts w:asciiTheme="majorHAnsi" w:hAnsiTheme="majorHAnsi" w:cstheme="majorHAnsi"/>
              </w:rPr>
            </w:pPr>
            <w:r w:rsidRPr="00D01FCD">
              <w:rPr>
                <w:rFonts w:asciiTheme="majorHAnsi" w:hAnsiTheme="majorHAnsi" w:cstheme="majorHAnsi"/>
              </w:rPr>
              <w:lastRenderedPageBreak/>
              <w:t>Primary Responsibilities</w:t>
            </w:r>
          </w:p>
        </w:tc>
        <w:tc>
          <w:tcPr>
            <w:tcW w:w="6941" w:type="dxa"/>
            <w:tcBorders>
              <w:top w:val="single" w:sz="2" w:space="0" w:color="auto"/>
              <w:left w:val="single" w:sz="2" w:space="0" w:color="auto"/>
              <w:bottom w:val="single" w:sz="2" w:space="0" w:color="auto"/>
              <w:right w:val="single" w:sz="2" w:space="0" w:color="auto"/>
            </w:tcBorders>
          </w:tcPr>
          <w:tbl>
            <w:tblPr>
              <w:tblW w:w="0" w:type="auto"/>
              <w:tblBorders>
                <w:top w:val="nil"/>
                <w:left w:val="nil"/>
                <w:bottom w:val="nil"/>
                <w:right w:val="nil"/>
              </w:tblBorders>
              <w:tblLook w:val="0000" w:firstRow="0" w:lastRow="0" w:firstColumn="0" w:lastColumn="0" w:noHBand="0" w:noVBand="0"/>
            </w:tblPr>
            <w:tblGrid>
              <w:gridCol w:w="6711"/>
            </w:tblGrid>
            <w:tr w:rsidR="00E27CC1" w:rsidRPr="00D01FCD" w14:paraId="4DF20ABF" w14:textId="77777777" w:rsidTr="00E64386">
              <w:trPr>
                <w:trHeight w:val="4989"/>
              </w:trPr>
              <w:tc>
                <w:tcPr>
                  <w:tcW w:w="0" w:type="auto"/>
                </w:tcPr>
                <w:p w14:paraId="0919425C" w14:textId="77777777" w:rsidR="00E27CC1" w:rsidRPr="00D01FCD" w:rsidRDefault="00E27CC1" w:rsidP="00E27CC1">
                  <w:pPr>
                    <w:numPr>
                      <w:ilvl w:val="0"/>
                      <w:numId w:val="46"/>
                    </w:numPr>
                    <w:contextualSpacing/>
                    <w:rPr>
                      <w:rFonts w:asciiTheme="majorHAnsi" w:eastAsia="Times New Roman" w:hAnsiTheme="majorHAnsi" w:cstheme="majorHAnsi"/>
                    </w:rPr>
                  </w:pPr>
                  <w:r w:rsidRPr="00D01FCD">
                    <w:rPr>
                      <w:rFonts w:asciiTheme="majorHAnsi" w:eastAsia="Times New Roman" w:hAnsiTheme="majorHAnsi" w:cstheme="majorHAnsi"/>
                      <w:bCs/>
                    </w:rPr>
                    <w:t>Subject to the direction and control of the secretary of the Air Force (SECAF):</w:t>
                  </w:r>
                </w:p>
                <w:p w14:paraId="29138A9B" w14:textId="77777777" w:rsidR="00E27CC1" w:rsidRPr="00D01FCD" w:rsidRDefault="00E27CC1" w:rsidP="00E27CC1">
                  <w:pPr>
                    <w:numPr>
                      <w:ilvl w:val="1"/>
                      <w:numId w:val="34"/>
                    </w:numPr>
                    <w:ind w:left="720"/>
                    <w:contextualSpacing/>
                    <w:rPr>
                      <w:rFonts w:asciiTheme="majorHAnsi" w:eastAsia="Times New Roman" w:hAnsiTheme="majorHAnsi" w:cstheme="majorHAnsi"/>
                    </w:rPr>
                  </w:pPr>
                  <w:r w:rsidRPr="00D01FCD">
                    <w:rPr>
                      <w:rFonts w:asciiTheme="majorHAnsi" w:eastAsia="Times New Roman" w:hAnsiTheme="majorHAnsi" w:cstheme="majorHAnsi"/>
                      <w:bCs/>
                    </w:rPr>
                    <w:t>Exercises the full authority of the secretary (except as limited by law, regulation, Office of Secretary of Defense or SECAF restrictions) in all affairs of the Department of the Air Force and relationships and transactions with Congress and other governmental and non-governmental organizations and individuals.</w:t>
                  </w:r>
                </w:p>
                <w:p w14:paraId="6DB92536" w14:textId="77777777" w:rsidR="00E27CC1" w:rsidRPr="00D01FCD" w:rsidRDefault="00E27CC1" w:rsidP="00E27CC1">
                  <w:pPr>
                    <w:numPr>
                      <w:ilvl w:val="1"/>
                      <w:numId w:val="34"/>
                    </w:numPr>
                    <w:ind w:left="720"/>
                    <w:contextualSpacing/>
                    <w:rPr>
                      <w:rFonts w:asciiTheme="majorHAnsi" w:eastAsia="Times New Roman" w:hAnsiTheme="majorHAnsi" w:cstheme="majorHAnsi"/>
                    </w:rPr>
                  </w:pPr>
                  <w:r w:rsidRPr="00D01FCD">
                    <w:rPr>
                      <w:rFonts w:asciiTheme="majorHAnsi" w:eastAsia="Times New Roman" w:hAnsiTheme="majorHAnsi" w:cstheme="majorHAnsi"/>
                      <w:bCs/>
                    </w:rPr>
                    <w:t>Develops, oversees and executes programs enabling the United States to exploit, integrate and control space to protect and defend the nation and its global interests from peace through war.</w:t>
                  </w:r>
                </w:p>
                <w:p w14:paraId="72D57EB4" w14:textId="77777777" w:rsidR="00E27CC1" w:rsidRPr="00D01FCD" w:rsidRDefault="00E27CC1" w:rsidP="00E27CC1">
                  <w:pPr>
                    <w:numPr>
                      <w:ilvl w:val="1"/>
                      <w:numId w:val="34"/>
                    </w:numPr>
                    <w:ind w:left="720"/>
                    <w:contextualSpacing/>
                    <w:rPr>
                      <w:rFonts w:asciiTheme="majorHAnsi" w:eastAsia="Times New Roman" w:hAnsiTheme="majorHAnsi" w:cstheme="majorHAnsi"/>
                    </w:rPr>
                  </w:pPr>
                  <w:r w:rsidRPr="00D01FCD">
                    <w:rPr>
                      <w:rFonts w:asciiTheme="majorHAnsi" w:eastAsia="Times New Roman" w:hAnsiTheme="majorHAnsi" w:cstheme="majorHAnsi"/>
                      <w:bCs/>
                    </w:rPr>
                    <w:t>In accordance with Section 904, NDAA fiscal 08, the USECAF is designated as the chief management officer of the Air Force and assigned duties and authority relative to the management of business operations of the Air Force.</w:t>
                  </w:r>
                </w:p>
                <w:p w14:paraId="036AA36D" w14:textId="77777777" w:rsidR="00E27CC1" w:rsidRPr="00D01FCD" w:rsidRDefault="00E27CC1" w:rsidP="00E27CC1">
                  <w:pPr>
                    <w:numPr>
                      <w:ilvl w:val="0"/>
                      <w:numId w:val="34"/>
                    </w:numPr>
                    <w:contextualSpacing/>
                    <w:rPr>
                      <w:rFonts w:asciiTheme="majorHAnsi" w:eastAsia="Times New Roman" w:hAnsiTheme="majorHAnsi" w:cstheme="majorHAnsi"/>
                    </w:rPr>
                  </w:pPr>
                  <w:r w:rsidRPr="00D01FCD">
                    <w:rPr>
                      <w:rFonts w:asciiTheme="majorHAnsi" w:eastAsia="Times New Roman" w:hAnsiTheme="majorHAnsi" w:cstheme="majorHAnsi"/>
                      <w:bCs/>
                    </w:rPr>
                    <w:t>Serves as the acting SECAF when the position of the SECAF is vacant.</w:t>
                  </w:r>
                </w:p>
                <w:p w14:paraId="65AA0E32" w14:textId="5C6AA141" w:rsidR="00D01FCD" w:rsidRPr="00D01FCD" w:rsidRDefault="00E27CC1" w:rsidP="00D01FCD">
                  <w:pPr>
                    <w:numPr>
                      <w:ilvl w:val="0"/>
                      <w:numId w:val="34"/>
                    </w:numPr>
                    <w:contextualSpacing/>
                    <w:rPr>
                      <w:rFonts w:asciiTheme="majorHAnsi" w:eastAsia="Times New Roman" w:hAnsiTheme="majorHAnsi" w:cstheme="majorHAnsi"/>
                    </w:rPr>
                  </w:pPr>
                  <w:r w:rsidRPr="00D01FCD">
                    <w:rPr>
                      <w:rFonts w:asciiTheme="majorHAnsi" w:eastAsia="Times New Roman" w:hAnsiTheme="majorHAnsi" w:cstheme="majorHAnsi"/>
                      <w:bCs/>
                    </w:rPr>
                    <w:t xml:space="preserve">Manages key relationships with the United Commands, Joint Staff, intelligence community, defense agencies and other military departments and the headquarters Air Force staff. </w:t>
                  </w:r>
                </w:p>
                <w:p w14:paraId="47EF9258" w14:textId="35CDE6BE" w:rsidR="00D01FCD" w:rsidRPr="00D01FCD" w:rsidRDefault="00D01FCD" w:rsidP="00D01FCD">
                  <w:pPr>
                    <w:numPr>
                      <w:ilvl w:val="0"/>
                      <w:numId w:val="34"/>
                    </w:numPr>
                    <w:contextualSpacing/>
                    <w:rPr>
                      <w:rFonts w:asciiTheme="majorHAnsi" w:eastAsia="Times New Roman" w:hAnsiTheme="majorHAnsi" w:cstheme="majorHAnsi"/>
                    </w:rPr>
                  </w:pPr>
                  <w:r w:rsidRPr="00D01FCD">
                    <w:rPr>
                      <w:rFonts w:asciiTheme="majorHAnsi" w:eastAsia="Times New Roman" w:hAnsiTheme="majorHAnsi" w:cstheme="majorHAnsi"/>
                      <w:bCs/>
                    </w:rPr>
                    <w:t>Communicates Air Force policies, plans, programs, capabilities, and accomplishments to the service and external audiences.</w:t>
                  </w:r>
                </w:p>
                <w:p w14:paraId="75BAB3A2" w14:textId="1BE9946F" w:rsidR="00D01FCD" w:rsidRPr="00D01FCD" w:rsidRDefault="00D01FCD" w:rsidP="00D01FCD">
                  <w:pPr>
                    <w:numPr>
                      <w:ilvl w:val="0"/>
                      <w:numId w:val="34"/>
                    </w:numPr>
                    <w:contextualSpacing/>
                    <w:rPr>
                      <w:rFonts w:asciiTheme="majorHAnsi" w:eastAsia="Times New Roman" w:hAnsiTheme="majorHAnsi" w:cstheme="majorHAnsi"/>
                    </w:rPr>
                  </w:pPr>
                  <w:r w:rsidRPr="00D01FCD">
                    <w:rPr>
                      <w:rFonts w:asciiTheme="majorHAnsi" w:eastAsia="Times New Roman" w:hAnsiTheme="majorHAnsi" w:cstheme="majorHAnsi"/>
                      <w:bCs/>
                    </w:rPr>
                    <w:t xml:space="preserve">Recommends methodologies and criteria to synchronize, integrate, and coordinate the business operations of the department to ensure optimal alignment. </w:t>
                  </w:r>
                </w:p>
                <w:p w14:paraId="47178C33" w14:textId="77777777" w:rsidR="00E27CC1" w:rsidRPr="00D01FCD" w:rsidRDefault="00E27CC1" w:rsidP="00E27CC1">
                  <w:pPr>
                    <w:numPr>
                      <w:ilvl w:val="0"/>
                      <w:numId w:val="34"/>
                    </w:numPr>
                    <w:contextualSpacing/>
                    <w:rPr>
                      <w:rFonts w:asciiTheme="majorHAnsi" w:eastAsia="Times New Roman" w:hAnsiTheme="majorHAnsi" w:cstheme="majorHAnsi"/>
                    </w:rPr>
                  </w:pPr>
                  <w:r w:rsidRPr="00D01FCD">
                    <w:rPr>
                      <w:rFonts w:asciiTheme="majorHAnsi" w:eastAsia="Times New Roman" w:hAnsiTheme="majorHAnsi" w:cstheme="majorHAnsi"/>
                      <w:bCs/>
                    </w:rPr>
                    <w:t xml:space="preserve">Exercises primary responsibility for the oversight of the Air Force Special Access Program space activities. </w:t>
                  </w:r>
                </w:p>
                <w:p w14:paraId="6D6A5738" w14:textId="77777777" w:rsidR="00E27CC1" w:rsidRPr="00D01FCD" w:rsidRDefault="00E27CC1" w:rsidP="00E27CC1">
                  <w:pPr>
                    <w:numPr>
                      <w:ilvl w:val="0"/>
                      <w:numId w:val="34"/>
                    </w:numPr>
                    <w:contextualSpacing/>
                    <w:rPr>
                      <w:rFonts w:asciiTheme="majorHAnsi" w:hAnsiTheme="majorHAnsi" w:cstheme="majorHAnsi"/>
                      <w:bCs/>
                    </w:rPr>
                  </w:pPr>
                  <w:r w:rsidRPr="00D01FCD">
                    <w:rPr>
                      <w:rFonts w:asciiTheme="majorHAnsi" w:eastAsia="Times New Roman" w:hAnsiTheme="majorHAnsi" w:cstheme="majorHAnsi"/>
                      <w:bCs/>
                    </w:rPr>
                    <w:t>Directs and oversees activities of the Air Force program executive officer for space, the Air Force program executive officer for the space radar program, the Air Force program executive officer for environmental satellites, the Directorate of Space Acquisition,</w:t>
                  </w:r>
                  <w:r w:rsidRPr="00D01FCD">
                    <w:rPr>
                      <w:rFonts w:asciiTheme="majorHAnsi" w:hAnsiTheme="majorHAnsi" w:cstheme="majorHAnsi"/>
                      <w:bCs/>
                    </w:rPr>
                    <w:t xml:space="preserve"> the deputy undersecretary of the Air Force (space programs), the deputy undersecretary of the Air Force (international affairs) and the Office of Small Business Programs of the Department of the Air Force. </w:t>
                  </w:r>
                </w:p>
                <w:p w14:paraId="23A0DF41" w14:textId="77777777" w:rsidR="00E27CC1" w:rsidRPr="00D01FCD" w:rsidRDefault="00E27CC1" w:rsidP="00E27CC1">
                  <w:pPr>
                    <w:numPr>
                      <w:ilvl w:val="0"/>
                      <w:numId w:val="34"/>
                    </w:numPr>
                    <w:contextualSpacing/>
                    <w:rPr>
                      <w:rFonts w:asciiTheme="majorHAnsi" w:eastAsia="Times New Roman" w:hAnsiTheme="majorHAnsi" w:cstheme="majorHAnsi"/>
                    </w:rPr>
                  </w:pPr>
                  <w:r w:rsidRPr="00D01FCD">
                    <w:rPr>
                      <w:rFonts w:asciiTheme="majorHAnsi" w:hAnsiTheme="majorHAnsi" w:cstheme="majorHAnsi"/>
                      <w:bCs/>
                    </w:rPr>
                    <w:t>Serves as the milestone decision authority for Department of Defense Major Defense Acquisition Programs (MDAP) when delegated by the undersecretary of Defense (Acquisition Technology and Logistics) and re-delegated by the SECAF.</w:t>
                  </w:r>
                </w:p>
                <w:p w14:paraId="6DA18745" w14:textId="77777777" w:rsidR="00E27CC1" w:rsidRPr="00D01FCD" w:rsidRDefault="00E27CC1" w:rsidP="00E27CC1">
                  <w:pPr>
                    <w:numPr>
                      <w:ilvl w:val="0"/>
                      <w:numId w:val="34"/>
                    </w:numPr>
                    <w:contextualSpacing/>
                    <w:rPr>
                      <w:rFonts w:asciiTheme="majorHAnsi" w:eastAsia="Times New Roman" w:hAnsiTheme="majorHAnsi" w:cstheme="majorHAnsi"/>
                    </w:rPr>
                  </w:pPr>
                  <w:r w:rsidRPr="00D01FCD">
                    <w:rPr>
                      <w:rFonts w:asciiTheme="majorHAnsi" w:hAnsiTheme="majorHAnsi" w:cstheme="majorHAnsi"/>
                      <w:bCs/>
                    </w:rPr>
                    <w:t xml:space="preserve">Recommends, to the heads of the DOD Components, DOD-wide processes for the development, coordination, integration, review and implementation of space system plans, strategy and acquisition programs. </w:t>
                  </w:r>
                </w:p>
                <w:p w14:paraId="68CF46EB" w14:textId="77777777" w:rsidR="00E27CC1" w:rsidRPr="00D01FCD" w:rsidRDefault="00E27CC1" w:rsidP="00E27CC1">
                  <w:pPr>
                    <w:numPr>
                      <w:ilvl w:val="0"/>
                      <w:numId w:val="34"/>
                    </w:numPr>
                    <w:contextualSpacing/>
                    <w:rPr>
                      <w:rFonts w:asciiTheme="majorHAnsi" w:eastAsia="Times New Roman" w:hAnsiTheme="majorHAnsi" w:cstheme="majorHAnsi"/>
                    </w:rPr>
                  </w:pPr>
                  <w:r w:rsidRPr="00D01FCD">
                    <w:rPr>
                      <w:rFonts w:asciiTheme="majorHAnsi" w:hAnsiTheme="majorHAnsi" w:cstheme="majorHAnsi"/>
                      <w:bCs/>
                    </w:rPr>
                    <w:t xml:space="preserve">Prepares the annual National Security Space Plan in consultation with the heads of DOD components and the director of National Intelligence. </w:t>
                  </w:r>
                </w:p>
                <w:p w14:paraId="72E09217" w14:textId="77777777" w:rsidR="00E27CC1" w:rsidRPr="00D01FCD" w:rsidRDefault="00E27CC1" w:rsidP="00E27CC1">
                  <w:pPr>
                    <w:numPr>
                      <w:ilvl w:val="0"/>
                      <w:numId w:val="34"/>
                    </w:numPr>
                    <w:contextualSpacing/>
                    <w:rPr>
                      <w:rFonts w:asciiTheme="majorHAnsi" w:eastAsia="Times New Roman" w:hAnsiTheme="majorHAnsi" w:cstheme="majorHAnsi"/>
                    </w:rPr>
                  </w:pPr>
                  <w:r w:rsidRPr="00D01FCD">
                    <w:rPr>
                      <w:rFonts w:asciiTheme="majorHAnsi" w:hAnsiTheme="majorHAnsi" w:cstheme="majorHAnsi"/>
                      <w:bCs/>
                    </w:rPr>
                    <w:lastRenderedPageBreak/>
                    <w:t>Reviews annually, in coordination with the other DOD components and the intelligence community, the space program, budget and accounting mechanism.</w:t>
                  </w:r>
                </w:p>
                <w:p w14:paraId="2C516BB3" w14:textId="77777777" w:rsidR="00E27CC1" w:rsidRPr="00D01FCD" w:rsidRDefault="00E27CC1" w:rsidP="00E27CC1">
                  <w:pPr>
                    <w:numPr>
                      <w:ilvl w:val="0"/>
                      <w:numId w:val="34"/>
                    </w:numPr>
                    <w:contextualSpacing/>
                    <w:rPr>
                      <w:rFonts w:asciiTheme="majorHAnsi" w:eastAsia="Times New Roman" w:hAnsiTheme="majorHAnsi" w:cstheme="majorHAnsi"/>
                    </w:rPr>
                  </w:pPr>
                  <w:r w:rsidRPr="00D01FCD">
                    <w:rPr>
                      <w:rFonts w:asciiTheme="majorHAnsi" w:hAnsiTheme="majorHAnsi" w:cstheme="majorHAnsi"/>
                      <w:bCs/>
                    </w:rPr>
                    <w:t xml:space="preserve">Represents and advocates DOD-wide space interests in the planning and programming processes and defense acquisition process. </w:t>
                  </w:r>
                </w:p>
                <w:p w14:paraId="4A9D88DE" w14:textId="77777777" w:rsidR="00E27CC1" w:rsidRPr="00D01FCD" w:rsidRDefault="00E27CC1" w:rsidP="00E27CC1">
                  <w:pPr>
                    <w:numPr>
                      <w:ilvl w:val="0"/>
                      <w:numId w:val="34"/>
                    </w:numPr>
                    <w:contextualSpacing/>
                    <w:rPr>
                      <w:rFonts w:asciiTheme="majorHAnsi" w:eastAsia="Times New Roman" w:hAnsiTheme="majorHAnsi" w:cstheme="majorHAnsi"/>
                    </w:rPr>
                  </w:pPr>
                  <w:r w:rsidRPr="00D01FCD">
                    <w:rPr>
                      <w:rFonts w:asciiTheme="majorHAnsi" w:hAnsiTheme="majorHAnsi" w:cstheme="majorHAnsi"/>
                      <w:bCs/>
                    </w:rPr>
                    <w:t xml:space="preserve">Integrates the needs and requirements of the DOD components into space plans and space MDAP capabilities documents and submits them to the Joint Requirements Oversight Council for validation. </w:t>
                  </w:r>
                </w:p>
                <w:p w14:paraId="18989A7F" w14:textId="77777777" w:rsidR="00E27CC1" w:rsidRPr="00D01FCD" w:rsidRDefault="00E27CC1" w:rsidP="00E27CC1">
                  <w:pPr>
                    <w:numPr>
                      <w:ilvl w:val="0"/>
                      <w:numId w:val="34"/>
                    </w:numPr>
                    <w:contextualSpacing/>
                    <w:rPr>
                      <w:rFonts w:asciiTheme="majorHAnsi" w:eastAsia="Times New Roman" w:hAnsiTheme="majorHAnsi" w:cstheme="majorHAnsi"/>
                    </w:rPr>
                  </w:pPr>
                  <w:r w:rsidRPr="00D01FCD">
                    <w:rPr>
                      <w:rFonts w:asciiTheme="majorHAnsi" w:hAnsiTheme="majorHAnsi" w:cstheme="majorHAnsi"/>
                      <w:bCs/>
                    </w:rPr>
                    <w:t xml:space="preserve">Prepares annually, in consultation with the heads of DOD components and the director of national intelligence, the national security space program assessment reports on the consistency of the implementation of defense and intelligence space programs with policy, strategy, planning and programming guidance and architectural decisions, based on the Future Years Defense Program. </w:t>
                  </w:r>
                </w:p>
                <w:p w14:paraId="316BB88E" w14:textId="77777777" w:rsidR="00E27CC1" w:rsidRPr="00D01FCD" w:rsidRDefault="00E27CC1" w:rsidP="00E27CC1">
                  <w:pPr>
                    <w:numPr>
                      <w:ilvl w:val="0"/>
                      <w:numId w:val="34"/>
                    </w:numPr>
                    <w:contextualSpacing/>
                    <w:rPr>
                      <w:rFonts w:asciiTheme="majorHAnsi" w:eastAsia="Times New Roman" w:hAnsiTheme="majorHAnsi" w:cstheme="majorHAnsi"/>
                    </w:rPr>
                  </w:pPr>
                  <w:r w:rsidRPr="00D01FCD">
                    <w:rPr>
                      <w:rFonts w:asciiTheme="majorHAnsi" w:hAnsiTheme="majorHAnsi" w:cstheme="majorHAnsi"/>
                      <w:bCs/>
                    </w:rPr>
                    <w:t xml:space="preserve">Provides direct oversight over the Operationally Responsive Space (ORS) Office and acts for the SECAF as the service acquisition executive for the office’s efforts. Convenes the ORS executive committee in coordination with the commander, U.S. Strategic Command. </w:t>
                  </w:r>
                </w:p>
                <w:p w14:paraId="0C93DED4" w14:textId="77777777" w:rsidR="00E27CC1" w:rsidRPr="00D01FCD" w:rsidRDefault="00E27CC1" w:rsidP="00E27CC1">
                  <w:pPr>
                    <w:numPr>
                      <w:ilvl w:val="0"/>
                      <w:numId w:val="34"/>
                    </w:numPr>
                    <w:contextualSpacing/>
                    <w:rPr>
                      <w:rFonts w:asciiTheme="majorHAnsi" w:eastAsia="Times New Roman" w:hAnsiTheme="majorHAnsi" w:cstheme="majorHAnsi"/>
                    </w:rPr>
                  </w:pPr>
                  <w:r w:rsidRPr="00D01FCD">
                    <w:rPr>
                      <w:rFonts w:asciiTheme="majorHAnsi" w:hAnsiTheme="majorHAnsi" w:cstheme="majorHAnsi"/>
                      <w:bCs/>
                    </w:rPr>
                    <w:t>Serves as the DOD representative on the National Polar-Orbiting Operational Environmental Satellite System Executive Committee; the co-chair of the Space Industrial Base Council; a member of the Space Partnership Council; the co-chair of the Space Professional Oversight Board; the co-chair of the Space Steering Council.</w:t>
                  </w:r>
                </w:p>
                <w:p w14:paraId="1FD82A2F" w14:textId="77777777" w:rsidR="00E27CC1" w:rsidRPr="00D01FCD" w:rsidRDefault="00E27CC1" w:rsidP="00E27CC1">
                  <w:pPr>
                    <w:numPr>
                      <w:ilvl w:val="0"/>
                      <w:numId w:val="34"/>
                    </w:numPr>
                    <w:contextualSpacing/>
                    <w:rPr>
                      <w:rFonts w:asciiTheme="majorHAnsi" w:eastAsia="Times New Roman" w:hAnsiTheme="majorHAnsi" w:cstheme="majorHAnsi"/>
                    </w:rPr>
                  </w:pPr>
                  <w:r w:rsidRPr="00D01FCD">
                    <w:rPr>
                      <w:rFonts w:asciiTheme="majorHAnsi" w:eastAsia="Times New Roman" w:hAnsiTheme="majorHAnsi" w:cstheme="majorHAnsi"/>
                    </w:rPr>
                    <w:t>Serves as the co-chair of the top Air Force corporate decision making body, the Air Force Council.</w:t>
                  </w:r>
                </w:p>
                <w:p w14:paraId="42D70545" w14:textId="77777777" w:rsidR="00E27CC1" w:rsidRPr="00D01FCD" w:rsidRDefault="00E27CC1" w:rsidP="00E27CC1">
                  <w:pPr>
                    <w:numPr>
                      <w:ilvl w:val="0"/>
                      <w:numId w:val="34"/>
                    </w:numPr>
                    <w:contextualSpacing/>
                    <w:rPr>
                      <w:rFonts w:asciiTheme="majorHAnsi" w:eastAsia="Times New Roman" w:hAnsiTheme="majorHAnsi" w:cstheme="majorHAnsi"/>
                    </w:rPr>
                  </w:pPr>
                  <w:r w:rsidRPr="00D01FCD">
                    <w:rPr>
                      <w:rFonts w:asciiTheme="majorHAnsi" w:eastAsia="Times New Roman" w:hAnsiTheme="majorHAnsi" w:cstheme="majorHAnsi"/>
                    </w:rPr>
                    <w:t>Represents the Air Force as a member of the deputy secretary of Defense’s Defense Management Advisory Group.</w:t>
                  </w:r>
                </w:p>
              </w:tc>
            </w:tr>
          </w:tbl>
          <w:p w14:paraId="599323B1" w14:textId="77777777" w:rsidR="00E27CC1" w:rsidRPr="00D01FCD" w:rsidRDefault="00E27CC1" w:rsidP="00E64386">
            <w:pPr>
              <w:contextualSpacing/>
              <w:rPr>
                <w:rFonts w:asciiTheme="majorHAnsi" w:eastAsia="Calibri" w:hAnsiTheme="majorHAnsi" w:cstheme="majorHAnsi"/>
              </w:rPr>
            </w:pPr>
          </w:p>
        </w:tc>
      </w:tr>
      <w:tr w:rsidR="00E27CC1" w:rsidRPr="00D01FCD" w14:paraId="317FC8DF" w14:textId="77777777" w:rsidTr="00301D8F">
        <w:tc>
          <w:tcPr>
            <w:tcW w:w="277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4C97D0E" w14:textId="77777777" w:rsidR="00E27CC1" w:rsidRPr="00D01FCD" w:rsidRDefault="00E27CC1" w:rsidP="00E64386">
            <w:pPr>
              <w:contextualSpacing/>
              <w:rPr>
                <w:rFonts w:asciiTheme="majorHAnsi" w:hAnsiTheme="majorHAnsi" w:cstheme="majorHAnsi"/>
              </w:rPr>
            </w:pPr>
            <w:r w:rsidRPr="00D01FCD">
              <w:rPr>
                <w:rFonts w:asciiTheme="majorHAnsi" w:hAnsiTheme="majorHAnsi" w:cstheme="majorHAnsi"/>
              </w:rPr>
              <w:lastRenderedPageBreak/>
              <w:t>Strategic Goals and Priorities</w:t>
            </w:r>
          </w:p>
        </w:tc>
        <w:tc>
          <w:tcPr>
            <w:tcW w:w="6941" w:type="dxa"/>
            <w:tcBorders>
              <w:top w:val="single" w:sz="2" w:space="0" w:color="auto"/>
              <w:left w:val="single" w:sz="2" w:space="0" w:color="auto"/>
              <w:bottom w:val="single" w:sz="2" w:space="0" w:color="auto"/>
              <w:right w:val="single" w:sz="2" w:space="0" w:color="auto"/>
            </w:tcBorders>
            <w:vAlign w:val="center"/>
          </w:tcPr>
          <w:p w14:paraId="20CF7ACC" w14:textId="77777777" w:rsidR="00E27CC1" w:rsidRPr="00D01FCD" w:rsidRDefault="00E27CC1" w:rsidP="006F7969">
            <w:pPr>
              <w:contextualSpacing/>
              <w:rPr>
                <w:rFonts w:asciiTheme="majorHAnsi" w:hAnsiTheme="majorHAnsi" w:cstheme="majorHAnsi"/>
              </w:rPr>
            </w:pPr>
          </w:p>
          <w:p w14:paraId="5FA71DE8" w14:textId="6C2F88B5" w:rsidR="00E27CC1" w:rsidRPr="00D01FCD" w:rsidRDefault="006F7969" w:rsidP="006F7969">
            <w:pPr>
              <w:contextualSpacing/>
              <w:jc w:val="center"/>
              <w:rPr>
                <w:rFonts w:asciiTheme="majorHAnsi" w:hAnsiTheme="majorHAnsi" w:cstheme="majorHAnsi"/>
              </w:rPr>
            </w:pPr>
            <w:r>
              <w:rPr>
                <w:rFonts w:asciiTheme="majorHAnsi" w:hAnsiTheme="majorHAnsi" w:cstheme="majorHAnsi"/>
              </w:rPr>
              <w:t>[</w:t>
            </w:r>
            <w:r w:rsidR="00E27CC1" w:rsidRPr="00D01FCD">
              <w:rPr>
                <w:rFonts w:asciiTheme="majorHAnsi" w:hAnsiTheme="majorHAnsi" w:cstheme="majorHAnsi"/>
              </w:rPr>
              <w:t>Depends on the policy priorities of the administration</w:t>
            </w:r>
            <w:r>
              <w:rPr>
                <w:rFonts w:asciiTheme="majorHAnsi" w:hAnsiTheme="majorHAnsi" w:cstheme="majorHAnsi"/>
              </w:rPr>
              <w:t>.]</w:t>
            </w:r>
          </w:p>
          <w:p w14:paraId="2E955237" w14:textId="77777777" w:rsidR="00E27CC1" w:rsidRPr="00D01FCD" w:rsidRDefault="00E27CC1" w:rsidP="006F7969">
            <w:pPr>
              <w:contextualSpacing/>
              <w:rPr>
                <w:rFonts w:asciiTheme="majorHAnsi" w:hAnsiTheme="majorHAnsi" w:cstheme="majorHAnsi"/>
              </w:rPr>
            </w:pPr>
          </w:p>
        </w:tc>
      </w:tr>
      <w:tr w:rsidR="00E27CC1" w:rsidRPr="00D01FCD" w14:paraId="410B272B" w14:textId="77777777" w:rsidTr="00301D8F">
        <w:tc>
          <w:tcPr>
            <w:tcW w:w="972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0E49D208" w14:textId="77777777" w:rsidR="00E27CC1" w:rsidRPr="00D01FCD" w:rsidRDefault="00E27CC1" w:rsidP="00E64386">
            <w:pPr>
              <w:contextualSpacing/>
              <w:jc w:val="center"/>
              <w:rPr>
                <w:rFonts w:asciiTheme="majorHAnsi" w:hAnsiTheme="majorHAnsi" w:cstheme="majorHAnsi"/>
                <w:b/>
              </w:rPr>
            </w:pPr>
            <w:r w:rsidRPr="00D01FCD">
              <w:rPr>
                <w:rFonts w:asciiTheme="majorHAnsi" w:hAnsiTheme="majorHAnsi" w:cstheme="majorHAnsi"/>
                <w:b/>
              </w:rPr>
              <w:t>REQUIREMENTS AND COMPETENCIES</w:t>
            </w:r>
          </w:p>
        </w:tc>
      </w:tr>
      <w:tr w:rsidR="00E27CC1" w:rsidRPr="00D01FCD" w14:paraId="352C0EE5" w14:textId="77777777" w:rsidTr="00301D8F">
        <w:tc>
          <w:tcPr>
            <w:tcW w:w="277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3EA612E" w14:textId="77777777" w:rsidR="00E27CC1" w:rsidRPr="00D01FCD" w:rsidRDefault="00E27CC1" w:rsidP="00E64386">
            <w:pPr>
              <w:contextualSpacing/>
              <w:rPr>
                <w:rFonts w:asciiTheme="majorHAnsi" w:hAnsiTheme="majorHAnsi" w:cstheme="majorHAnsi"/>
              </w:rPr>
            </w:pPr>
            <w:r w:rsidRPr="00D01FCD">
              <w:rPr>
                <w:rFonts w:asciiTheme="majorHAnsi" w:hAnsiTheme="majorHAnsi" w:cstheme="majorHAnsi"/>
              </w:rPr>
              <w:t>Requirements</w:t>
            </w:r>
          </w:p>
        </w:tc>
        <w:tc>
          <w:tcPr>
            <w:tcW w:w="6941" w:type="dxa"/>
            <w:tcBorders>
              <w:top w:val="single" w:sz="2" w:space="0" w:color="auto"/>
              <w:left w:val="single" w:sz="2" w:space="0" w:color="auto"/>
              <w:bottom w:val="single" w:sz="2" w:space="0" w:color="auto"/>
              <w:right w:val="single" w:sz="2" w:space="0" w:color="auto"/>
            </w:tcBorders>
          </w:tcPr>
          <w:p w14:paraId="319F0345" w14:textId="10CD595E" w:rsidR="00E27CC1" w:rsidRPr="00D01FCD" w:rsidRDefault="00E27CC1" w:rsidP="00E27CC1">
            <w:pPr>
              <w:numPr>
                <w:ilvl w:val="0"/>
                <w:numId w:val="31"/>
              </w:numPr>
              <w:contextualSpacing/>
              <w:rPr>
                <w:rFonts w:asciiTheme="majorHAnsi" w:eastAsia="Calibri" w:hAnsiTheme="majorHAnsi" w:cstheme="majorHAnsi"/>
              </w:rPr>
            </w:pPr>
            <w:r w:rsidRPr="00D01FCD">
              <w:rPr>
                <w:rFonts w:asciiTheme="majorHAnsi" w:eastAsia="Calibri" w:hAnsiTheme="majorHAnsi" w:cstheme="majorHAnsi"/>
              </w:rPr>
              <w:t>Extensive leadership and management experience</w:t>
            </w:r>
            <w:r w:rsidR="00F22775">
              <w:rPr>
                <w:rFonts w:asciiTheme="majorHAnsi" w:eastAsia="Calibri" w:hAnsiTheme="majorHAnsi" w:cstheme="majorHAnsi"/>
              </w:rPr>
              <w:t>.</w:t>
            </w:r>
          </w:p>
          <w:p w14:paraId="3C4D3493" w14:textId="30EA1E07" w:rsidR="00E27CC1" w:rsidRPr="00D01FCD" w:rsidRDefault="00E27CC1" w:rsidP="00E27CC1">
            <w:pPr>
              <w:numPr>
                <w:ilvl w:val="0"/>
                <w:numId w:val="31"/>
              </w:numPr>
              <w:contextualSpacing/>
              <w:rPr>
                <w:rFonts w:asciiTheme="majorHAnsi" w:hAnsiTheme="majorHAnsi" w:cstheme="majorHAnsi"/>
              </w:rPr>
            </w:pPr>
            <w:r w:rsidRPr="00D01FCD">
              <w:rPr>
                <w:rFonts w:asciiTheme="majorHAnsi" w:hAnsiTheme="majorHAnsi" w:cstheme="majorHAnsi"/>
              </w:rPr>
              <w:t>Strong substantive expertis</w:t>
            </w:r>
            <w:r w:rsidR="00D01FCD" w:rsidRPr="00D01FCD">
              <w:rPr>
                <w:rFonts w:asciiTheme="majorHAnsi" w:hAnsiTheme="majorHAnsi" w:cstheme="majorHAnsi"/>
              </w:rPr>
              <w:t>e in military affairs and civil-</w:t>
            </w:r>
            <w:r w:rsidRPr="00D01FCD">
              <w:rPr>
                <w:rFonts w:asciiTheme="majorHAnsi" w:hAnsiTheme="majorHAnsi" w:cstheme="majorHAnsi"/>
              </w:rPr>
              <w:t>military relations</w:t>
            </w:r>
            <w:r w:rsidR="00F22775">
              <w:rPr>
                <w:rFonts w:asciiTheme="majorHAnsi" w:hAnsiTheme="majorHAnsi" w:cstheme="majorHAnsi"/>
              </w:rPr>
              <w:t>.</w:t>
            </w:r>
          </w:p>
          <w:p w14:paraId="78E6C251" w14:textId="208EB2D5" w:rsidR="00E27CC1" w:rsidRPr="00D01FCD" w:rsidRDefault="00E27CC1" w:rsidP="00E27CC1">
            <w:pPr>
              <w:numPr>
                <w:ilvl w:val="0"/>
                <w:numId w:val="31"/>
              </w:numPr>
              <w:contextualSpacing/>
              <w:rPr>
                <w:rFonts w:asciiTheme="majorHAnsi" w:eastAsia="Calibri" w:hAnsiTheme="majorHAnsi" w:cstheme="majorHAnsi"/>
              </w:rPr>
            </w:pPr>
            <w:r w:rsidRPr="00D01FCD">
              <w:rPr>
                <w:rFonts w:asciiTheme="majorHAnsi" w:eastAsia="Calibri" w:hAnsiTheme="majorHAnsi" w:cstheme="majorHAnsi"/>
              </w:rPr>
              <w:t>Experience in DOD, the aerospace industry, Armed Services committee and/or other relevant entities</w:t>
            </w:r>
            <w:r w:rsidR="00F22775">
              <w:rPr>
                <w:rFonts w:asciiTheme="majorHAnsi" w:eastAsia="Calibri" w:hAnsiTheme="majorHAnsi" w:cstheme="majorHAnsi"/>
              </w:rPr>
              <w:t>.</w:t>
            </w:r>
          </w:p>
          <w:p w14:paraId="47B9923D" w14:textId="1D6F6960" w:rsidR="00E27CC1" w:rsidRPr="00D01FCD" w:rsidRDefault="00E27CC1" w:rsidP="00E27CC1">
            <w:pPr>
              <w:numPr>
                <w:ilvl w:val="0"/>
                <w:numId w:val="31"/>
              </w:numPr>
              <w:contextualSpacing/>
              <w:rPr>
                <w:rFonts w:asciiTheme="majorHAnsi" w:eastAsia="Calibri" w:hAnsiTheme="majorHAnsi" w:cstheme="majorHAnsi"/>
                <w:b/>
                <w:bCs/>
                <w:u w:val="single"/>
              </w:rPr>
            </w:pPr>
            <w:r w:rsidRPr="00D01FCD">
              <w:rPr>
                <w:rFonts w:asciiTheme="majorHAnsi" w:eastAsia="Calibri" w:hAnsiTheme="majorHAnsi" w:cstheme="majorHAnsi"/>
              </w:rPr>
              <w:t>Background or experience in federal budgeting, acquisition and personnel matters</w:t>
            </w:r>
            <w:r w:rsidR="00F22775">
              <w:rPr>
                <w:rFonts w:asciiTheme="majorHAnsi" w:eastAsia="Calibri" w:hAnsiTheme="majorHAnsi" w:cstheme="majorHAnsi"/>
              </w:rPr>
              <w:t>.</w:t>
            </w:r>
          </w:p>
        </w:tc>
      </w:tr>
      <w:tr w:rsidR="00E27CC1" w:rsidRPr="00D01FCD" w14:paraId="5005D24A" w14:textId="77777777" w:rsidTr="00301D8F">
        <w:tc>
          <w:tcPr>
            <w:tcW w:w="277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6442DC5" w14:textId="77777777" w:rsidR="00E27CC1" w:rsidRPr="00D01FCD" w:rsidRDefault="00E27CC1" w:rsidP="00E64386">
            <w:pPr>
              <w:contextualSpacing/>
              <w:rPr>
                <w:rFonts w:asciiTheme="majorHAnsi" w:hAnsiTheme="majorHAnsi" w:cstheme="majorHAnsi"/>
              </w:rPr>
            </w:pPr>
            <w:r w:rsidRPr="00D01FCD">
              <w:rPr>
                <w:rFonts w:asciiTheme="majorHAnsi" w:hAnsiTheme="majorHAnsi" w:cstheme="majorHAnsi"/>
              </w:rPr>
              <w:t>Competencies</w:t>
            </w:r>
          </w:p>
        </w:tc>
        <w:tc>
          <w:tcPr>
            <w:tcW w:w="6941" w:type="dxa"/>
            <w:tcBorders>
              <w:top w:val="single" w:sz="2" w:space="0" w:color="auto"/>
              <w:left w:val="single" w:sz="2" w:space="0" w:color="auto"/>
              <w:bottom w:val="single" w:sz="2" w:space="0" w:color="auto"/>
              <w:right w:val="single" w:sz="2" w:space="0" w:color="auto"/>
            </w:tcBorders>
          </w:tcPr>
          <w:p w14:paraId="309CE2D1" w14:textId="28594C5A" w:rsidR="00E27CC1" w:rsidRPr="00D01FCD" w:rsidRDefault="00E27CC1" w:rsidP="00E27CC1">
            <w:pPr>
              <w:numPr>
                <w:ilvl w:val="0"/>
                <w:numId w:val="32"/>
              </w:numPr>
              <w:contextualSpacing/>
              <w:rPr>
                <w:rFonts w:asciiTheme="majorHAnsi" w:eastAsia="Calibri" w:hAnsiTheme="majorHAnsi" w:cstheme="majorHAnsi"/>
              </w:rPr>
            </w:pPr>
            <w:r w:rsidRPr="00D01FCD">
              <w:rPr>
                <w:rFonts w:asciiTheme="majorHAnsi" w:eastAsia="Calibri" w:hAnsiTheme="majorHAnsi" w:cstheme="majorHAnsi"/>
              </w:rPr>
              <w:t>Strong communication and interpersonal skills</w:t>
            </w:r>
            <w:r w:rsidR="00F22775">
              <w:rPr>
                <w:rFonts w:asciiTheme="majorHAnsi" w:eastAsia="Calibri" w:hAnsiTheme="majorHAnsi" w:cstheme="majorHAnsi"/>
              </w:rPr>
              <w:t>.</w:t>
            </w:r>
          </w:p>
          <w:p w14:paraId="5C51F8CA" w14:textId="30C2F45F" w:rsidR="00D01FCD" w:rsidRPr="00D01FCD" w:rsidRDefault="00D01FCD" w:rsidP="00D01FCD">
            <w:pPr>
              <w:numPr>
                <w:ilvl w:val="0"/>
                <w:numId w:val="32"/>
              </w:numPr>
              <w:contextualSpacing/>
              <w:rPr>
                <w:rFonts w:asciiTheme="majorHAnsi" w:eastAsia="Calibri" w:hAnsiTheme="majorHAnsi" w:cstheme="majorHAnsi"/>
              </w:rPr>
            </w:pPr>
            <w:r w:rsidRPr="00D01FCD">
              <w:rPr>
                <w:rFonts w:asciiTheme="majorHAnsi" w:eastAsia="Calibri" w:hAnsiTheme="majorHAnsi" w:cstheme="majorHAnsi"/>
              </w:rPr>
              <w:t>Ability to integrate diverse missions and organizations</w:t>
            </w:r>
            <w:r w:rsidR="00F22775">
              <w:rPr>
                <w:rFonts w:asciiTheme="majorHAnsi" w:eastAsia="Calibri" w:hAnsiTheme="majorHAnsi" w:cstheme="majorHAnsi"/>
              </w:rPr>
              <w:t>.</w:t>
            </w:r>
          </w:p>
          <w:p w14:paraId="0DB63655" w14:textId="4225B7E1" w:rsidR="00E27CC1" w:rsidRPr="00D01FCD" w:rsidRDefault="00E27CC1" w:rsidP="00E27CC1">
            <w:pPr>
              <w:numPr>
                <w:ilvl w:val="0"/>
                <w:numId w:val="32"/>
              </w:numPr>
              <w:contextualSpacing/>
              <w:rPr>
                <w:rFonts w:asciiTheme="majorHAnsi" w:eastAsia="Calibri" w:hAnsiTheme="majorHAnsi" w:cstheme="majorHAnsi"/>
                <w:bCs/>
              </w:rPr>
            </w:pPr>
            <w:r w:rsidRPr="00D01FCD">
              <w:rPr>
                <w:rFonts w:asciiTheme="majorHAnsi" w:eastAsia="Calibri" w:hAnsiTheme="majorHAnsi" w:cstheme="majorHAnsi"/>
              </w:rPr>
              <w:t>Ability to handle sensitive matters</w:t>
            </w:r>
            <w:r w:rsidR="00F22775">
              <w:rPr>
                <w:rFonts w:asciiTheme="majorHAnsi" w:eastAsia="Calibri" w:hAnsiTheme="majorHAnsi" w:cstheme="majorHAnsi"/>
              </w:rPr>
              <w:t>.</w:t>
            </w:r>
          </w:p>
          <w:p w14:paraId="224F1C85" w14:textId="04D2CEDF" w:rsidR="00E27CC1" w:rsidRPr="00D01FCD" w:rsidRDefault="00E27CC1" w:rsidP="00E27CC1">
            <w:pPr>
              <w:numPr>
                <w:ilvl w:val="0"/>
                <w:numId w:val="32"/>
              </w:numPr>
              <w:contextualSpacing/>
              <w:rPr>
                <w:rFonts w:asciiTheme="majorHAnsi" w:eastAsia="Calibri" w:hAnsiTheme="majorHAnsi" w:cstheme="majorHAnsi"/>
                <w:bCs/>
              </w:rPr>
            </w:pPr>
            <w:r w:rsidRPr="00D01FCD">
              <w:rPr>
                <w:rFonts w:asciiTheme="majorHAnsi" w:eastAsia="Calibri" w:hAnsiTheme="majorHAnsi" w:cstheme="majorHAnsi"/>
              </w:rPr>
              <w:lastRenderedPageBreak/>
              <w:t>Ability to work under high pressure</w:t>
            </w:r>
            <w:r w:rsidR="00F22775">
              <w:rPr>
                <w:rFonts w:asciiTheme="majorHAnsi" w:eastAsia="Calibri" w:hAnsiTheme="majorHAnsi" w:cstheme="majorHAnsi"/>
              </w:rPr>
              <w:t>.</w:t>
            </w:r>
          </w:p>
        </w:tc>
      </w:tr>
      <w:tr w:rsidR="00E27CC1" w:rsidRPr="00D01FCD" w14:paraId="4D47D1B3" w14:textId="77777777" w:rsidTr="00301D8F">
        <w:tc>
          <w:tcPr>
            <w:tcW w:w="972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0A612EA9" w14:textId="77777777" w:rsidR="00E27CC1" w:rsidRPr="00D01FCD" w:rsidRDefault="00E27CC1" w:rsidP="00E64386">
            <w:pPr>
              <w:contextualSpacing/>
              <w:jc w:val="center"/>
              <w:rPr>
                <w:rFonts w:asciiTheme="majorHAnsi" w:hAnsiTheme="majorHAnsi" w:cstheme="majorHAnsi"/>
                <w:b/>
              </w:rPr>
            </w:pPr>
            <w:r w:rsidRPr="00D01FCD">
              <w:rPr>
                <w:rFonts w:asciiTheme="majorHAnsi" w:hAnsiTheme="majorHAnsi" w:cstheme="majorHAnsi"/>
                <w:b/>
              </w:rPr>
              <w:lastRenderedPageBreak/>
              <w:t>PAST APPOINTEES</w:t>
            </w:r>
          </w:p>
        </w:tc>
      </w:tr>
      <w:tr w:rsidR="00F22775" w:rsidRPr="00D01FCD" w14:paraId="4A1566FC" w14:textId="77777777" w:rsidTr="00301D8F">
        <w:tc>
          <w:tcPr>
            <w:tcW w:w="9720" w:type="dxa"/>
            <w:gridSpan w:val="2"/>
          </w:tcPr>
          <w:p w14:paraId="26F96E9E" w14:textId="6B8A222F" w:rsidR="00F22775" w:rsidRPr="00D01FCD" w:rsidRDefault="00F22775" w:rsidP="00095E50">
            <w:pPr>
              <w:contextualSpacing/>
              <w:rPr>
                <w:rFonts w:asciiTheme="majorHAnsi" w:hAnsiTheme="majorHAnsi" w:cstheme="majorHAnsi"/>
              </w:rPr>
            </w:pPr>
            <w:r>
              <w:rPr>
                <w:rFonts w:asciiTheme="majorHAnsi" w:hAnsiTheme="majorHAnsi" w:cstheme="majorHAnsi"/>
              </w:rPr>
              <w:t xml:space="preserve">Matthew P. Donovan (2017 to </w:t>
            </w:r>
            <w:r w:rsidR="00943BD6">
              <w:rPr>
                <w:rFonts w:asciiTheme="majorHAnsi" w:hAnsiTheme="majorHAnsi" w:cstheme="majorHAnsi"/>
              </w:rPr>
              <w:t>2019) – Majority Policy Director, Senate Armed Services Committee; Professional Staff Member, Senate Armed Services Committee; Director of Staff, Deputy Chief of Staff for Strategic Plans and Programs, US Air Force; Associate Chief, Program Integration Division, Directorate of Programs, US Air Force</w:t>
            </w:r>
          </w:p>
        </w:tc>
      </w:tr>
      <w:tr w:rsidR="00D01FCD" w:rsidRPr="00D01FCD" w14:paraId="78C02DD2" w14:textId="77777777" w:rsidTr="00301D8F">
        <w:tc>
          <w:tcPr>
            <w:tcW w:w="9720" w:type="dxa"/>
            <w:gridSpan w:val="2"/>
          </w:tcPr>
          <w:p w14:paraId="064DFBC3" w14:textId="0F13B187" w:rsidR="00D01FCD" w:rsidRPr="00D01FCD" w:rsidRDefault="00D01FCD" w:rsidP="00095E50">
            <w:pPr>
              <w:contextualSpacing/>
              <w:rPr>
                <w:rFonts w:asciiTheme="majorHAnsi" w:hAnsiTheme="majorHAnsi" w:cstheme="majorHAnsi"/>
              </w:rPr>
            </w:pPr>
            <w:r w:rsidRPr="00D01FCD">
              <w:rPr>
                <w:rFonts w:asciiTheme="majorHAnsi" w:hAnsiTheme="majorHAnsi" w:cstheme="majorHAnsi"/>
              </w:rPr>
              <w:t xml:space="preserve">Lisa Disbrow (2016 to </w:t>
            </w:r>
            <w:r w:rsidR="00095E50">
              <w:rPr>
                <w:rFonts w:asciiTheme="majorHAnsi" w:hAnsiTheme="majorHAnsi" w:cstheme="majorHAnsi"/>
              </w:rPr>
              <w:t>2017</w:t>
            </w:r>
            <w:r w:rsidRPr="00D01FCD">
              <w:rPr>
                <w:rFonts w:asciiTheme="majorHAnsi" w:hAnsiTheme="majorHAnsi" w:cstheme="majorHAnsi"/>
              </w:rPr>
              <w:t>) – Assistant Secretary of the Air Force for Financial Management and Comptroller; Vice Director for Force Structure, Resources and Assessment on the Joint Staff; Chairman of the Joint Requirements Oversight Council; Special Adviser for Policy Implementation and Execution, National Security Adviser</w:t>
            </w:r>
          </w:p>
        </w:tc>
      </w:tr>
      <w:tr w:rsidR="00D01FCD" w:rsidRPr="00D01FCD" w14:paraId="5533F78A" w14:textId="77777777" w:rsidTr="00301D8F">
        <w:tc>
          <w:tcPr>
            <w:tcW w:w="9720" w:type="dxa"/>
            <w:gridSpan w:val="2"/>
          </w:tcPr>
          <w:p w14:paraId="7FAAC427" w14:textId="14CF10F5" w:rsidR="00D01FCD" w:rsidRPr="00D01FCD" w:rsidRDefault="00D01FCD" w:rsidP="00CD7B6B">
            <w:pPr>
              <w:contextualSpacing/>
              <w:rPr>
                <w:rFonts w:asciiTheme="majorHAnsi" w:hAnsiTheme="majorHAnsi" w:cstheme="majorHAnsi"/>
              </w:rPr>
            </w:pPr>
            <w:r w:rsidRPr="00D01FCD">
              <w:rPr>
                <w:rFonts w:asciiTheme="majorHAnsi" w:hAnsiTheme="majorHAnsi" w:cstheme="majorHAnsi"/>
              </w:rPr>
              <w:t>Eric Fanning (2013 to 2015) – Deputy Undersecretary of the Navy/Deputy Chief Management Officer, United States Navy; Deputy Director, Commission on the Prevention of Weapons of Mass Destruction Proliferation and Terrorism; Senior Vice President, Business Executives for National Security</w:t>
            </w:r>
          </w:p>
        </w:tc>
      </w:tr>
    </w:tbl>
    <w:p w14:paraId="6B4F7023" w14:textId="77777777" w:rsidR="00E27CC1" w:rsidRPr="00E27CC1" w:rsidRDefault="00E27CC1"/>
    <w:sectPr w:rsidR="00E27CC1" w:rsidRPr="00E27CC1" w:rsidSect="00EE7A2D">
      <w:headerReference w:type="even" r:id="rId11"/>
      <w:headerReference w:type="default" r:id="rId12"/>
      <w:footerReference w:type="even" r:id="rId13"/>
      <w:footerReference w:type="default" r:id="rId14"/>
      <w:headerReference w:type="first" r:id="rId15"/>
      <w:footerReference w:type="first" r:id="rId16"/>
      <w:pgSz w:w="12240" w:h="15840"/>
      <w:pgMar w:top="1440" w:right="1296" w:bottom="1008" w:left="1296" w:header="576" w:footer="432" w:gutter="0"/>
      <w:cols w:space="21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B1AFF" w14:textId="77777777" w:rsidR="00C7029F" w:rsidRDefault="00C7029F" w:rsidP="001E22F1">
      <w:r>
        <w:separator/>
      </w:r>
    </w:p>
  </w:endnote>
  <w:endnote w:type="continuationSeparator" w:id="0">
    <w:p w14:paraId="0DC3CE4E" w14:textId="77777777" w:rsidR="00C7029F" w:rsidRDefault="00C7029F" w:rsidP="001E22F1">
      <w:r>
        <w:continuationSeparator/>
      </w:r>
    </w:p>
  </w:endnote>
  <w:endnote w:id="1">
    <w:p w14:paraId="234CF8C9" w14:textId="76B3BEA4" w:rsidR="00F0712A" w:rsidRPr="00F0712A" w:rsidRDefault="00E27CC1" w:rsidP="00F0712A">
      <w:pPr>
        <w:pStyle w:val="EndnoteText"/>
      </w:pPr>
      <w:r>
        <w:rPr>
          <w:rStyle w:val="EndnoteReference"/>
        </w:rPr>
        <w:endnoteRef/>
      </w:r>
      <w:r>
        <w:t xml:space="preserve"> </w:t>
      </w:r>
      <w:r w:rsidR="00F0712A" w:rsidRPr="00F0712A">
        <w:t>The Consolidated Appropriations Act, 2021 (Public Law 116-260, December 27 ,2020), contains a provision that continues the freeze on the payable pay rates for certain senior political officials through January 1, 2022. The compensation information is based on guidance from the Office of Personnel Management and can be accessed </w:t>
      </w:r>
      <w:hyperlink r:id="rId1" w:anchor=":~:text=Section%20748%20of%20division%20E,on%20December%2031%2C%202020%2C%20by" w:tgtFrame="_blank" w:history="1">
        <w:r w:rsidR="00F0712A" w:rsidRPr="00F0712A">
          <w:rPr>
            <w:rStyle w:val="Hyperlink"/>
          </w:rPr>
          <w:t>here</w:t>
        </w:r>
      </w:hyperlink>
      <w:r w:rsidR="00F0712A" w:rsidRPr="00F0712A">
        <w:t>. If you are selected for this position, please consult the agency’s HR representative for further guidance on compensation.  </w:t>
      </w:r>
    </w:p>
    <w:p w14:paraId="4EE49F4F" w14:textId="332C0970" w:rsidR="00E27CC1" w:rsidRDefault="00E27CC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Lucida Grande"/>
    <w:charset w:val="00"/>
    <w:family w:val="swiss"/>
    <w:pitch w:val="variable"/>
    <w:sig w:usb0="E1000AEF" w:usb1="5000A1FF" w:usb2="00000000" w:usb3="00000000" w:csb0="000001BF" w:csb1="00000000"/>
  </w:font>
  <w:font w:name="Georgia">
    <w:altName w:val="﷽﷽﷽﷽﷽﷽﷽﷽Ƙ怀"/>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6FF" w:usb1="420024FF" w:usb2="02000000" w:usb3="00000000" w:csb0="0000019F" w:csb1="00000000"/>
  </w:font>
  <w:font w:name="GothamNarrow-Book">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14E1D" w14:textId="77777777"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4AC6C" w14:textId="77777777" w:rsidR="00B64A22" w:rsidRDefault="00B64A22" w:rsidP="00B72A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97D0" w14:textId="3AF99CE4" w:rsidR="00FB2262" w:rsidRPr="00FB2262" w:rsidRDefault="00FB2262" w:rsidP="00FB2262">
    <w:pPr>
      <w:pStyle w:val="Footer"/>
      <w:tabs>
        <w:tab w:val="clear" w:pos="4680"/>
      </w:tabs>
      <w:ind w:right="-216"/>
      <w:jc w:val="right"/>
      <w:rPr>
        <w:sz w:val="16"/>
        <w:szCs w:val="14"/>
      </w:rPr>
    </w:pPr>
    <w:r w:rsidRPr="002531C5">
      <w:rPr>
        <w:rFonts w:ascii="Arial" w:hAnsi="Arial" w:cs="Arial"/>
        <w:sz w:val="16"/>
        <w:szCs w:val="14"/>
      </w:rPr>
      <w:t>presidentialtransition.org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9AA1E" w14:textId="665212B7" w:rsidR="00661AE5" w:rsidRPr="00FB2262" w:rsidRDefault="00FB2262" w:rsidP="00FB2262">
    <w:pPr>
      <w:pStyle w:val="Footer"/>
      <w:tabs>
        <w:tab w:val="clear" w:pos="4680"/>
      </w:tabs>
      <w:ind w:right="-216"/>
      <w:jc w:val="right"/>
      <w:rPr>
        <w:sz w:val="16"/>
        <w:szCs w:val="14"/>
      </w:rPr>
    </w:pPr>
    <w:r w:rsidRPr="002531C5">
      <w:rPr>
        <w:rFonts w:ascii="Arial" w:hAnsi="Arial" w:cs="Arial"/>
        <w:sz w:val="16"/>
        <w:szCs w:val="14"/>
      </w:rPr>
      <w:t>presidentialtransition.org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C3075" w14:textId="77777777" w:rsidR="00C7029F" w:rsidRDefault="00C7029F" w:rsidP="001E22F1">
      <w:r>
        <w:separator/>
      </w:r>
    </w:p>
  </w:footnote>
  <w:footnote w:type="continuationSeparator" w:id="0">
    <w:p w14:paraId="55DF9CA3" w14:textId="77777777" w:rsidR="00C7029F" w:rsidRDefault="00C7029F" w:rsidP="001E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CC7E" w14:textId="77777777" w:rsidR="00B64A22" w:rsidRPr="00CA0F50" w:rsidRDefault="00F11CB7"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2D06" w14:textId="77777777" w:rsidR="00EE7A2D" w:rsidRPr="00353F4E" w:rsidRDefault="00EE7A2D" w:rsidP="00EE7A2D">
    <w:pPr>
      <w:pStyle w:val="Header"/>
      <w:tabs>
        <w:tab w:val="clear" w:pos="4680"/>
      </w:tabs>
      <w:ind w:left="5040"/>
      <w:jc w:val="right"/>
      <w:rPr>
        <w:rFonts w:ascii="Arial" w:hAnsi="Arial" w:cs="Arial"/>
        <w:caps/>
        <w:sz w:val="16"/>
        <w:szCs w:val="16"/>
      </w:rPr>
    </w:pPr>
    <w:r>
      <w:rPr>
        <w:rFonts w:ascii="Arial" w:hAnsi="Arial" w:cs="Arial"/>
        <w:caps/>
        <w:sz w:val="16"/>
        <w:szCs w:val="16"/>
      </w:rPr>
      <w:t xml:space="preserve">           CENTER FOR PRESIDENTIAL TRANSITION</w:t>
    </w:r>
  </w:p>
  <w:p w14:paraId="4FA6F0D5" w14:textId="32008EF9"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F836B" w14:textId="4B6D0DDF" w:rsidR="00B64A22" w:rsidRPr="004960D6" w:rsidRDefault="4E55E9A0" w:rsidP="00301D8F">
    <w:pPr>
      <w:pStyle w:val="Header"/>
      <w:tabs>
        <w:tab w:val="clear" w:pos="9360"/>
        <w:tab w:val="right" w:pos="8820"/>
      </w:tabs>
      <w:ind w:hanging="360"/>
    </w:pPr>
    <w:r>
      <w:rPr>
        <w:noProof/>
      </w:rPr>
      <w:drawing>
        <wp:inline distT="0" distB="0" distL="0" distR="0" wp14:anchorId="36BE85F3" wp14:editId="5311FC4A">
          <wp:extent cx="3452810" cy="388883"/>
          <wp:effectExtent l="0" t="0" r="1905" b="5080"/>
          <wp:docPr id="272978686" name="Picture 272978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519499" cy="3963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4A9C"/>
    <w:multiLevelType w:val="multilevel"/>
    <w:tmpl w:val="02BEABC0"/>
    <w:lvl w:ilvl="0">
      <w:start w:val="1"/>
      <w:numFmt w:val="bullet"/>
      <w:lvlText w:val=""/>
      <w:lvlJc w:val="left"/>
      <w:pPr>
        <w:ind w:left="360"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 w15:restartNumberingAfterBreak="0">
    <w:nsid w:val="0AD778CD"/>
    <w:multiLevelType w:val="hybridMultilevel"/>
    <w:tmpl w:val="25A20A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27A37"/>
    <w:multiLevelType w:val="hybridMultilevel"/>
    <w:tmpl w:val="C6A88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81879"/>
    <w:multiLevelType w:val="hybridMultilevel"/>
    <w:tmpl w:val="FBE89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AB95DA4"/>
    <w:multiLevelType w:val="hybridMultilevel"/>
    <w:tmpl w:val="4DCC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7F1F58"/>
    <w:multiLevelType w:val="hybridMultilevel"/>
    <w:tmpl w:val="3B08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D4E37A9"/>
    <w:multiLevelType w:val="hybridMultilevel"/>
    <w:tmpl w:val="342E30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15E1EFC"/>
    <w:multiLevelType w:val="hybridMultilevel"/>
    <w:tmpl w:val="DE3AFFD0"/>
    <w:lvl w:ilvl="0" w:tplc="52CA98D8">
      <w:start w:val="1"/>
      <w:numFmt w:val="bullet"/>
      <w:lvlText w:val=""/>
      <w:lvlJc w:val="left"/>
      <w:pPr>
        <w:tabs>
          <w:tab w:val="num" w:pos="720"/>
        </w:tabs>
        <w:ind w:left="720" w:hanging="360"/>
      </w:pPr>
      <w:rPr>
        <w:rFonts w:ascii="Wingdings" w:hAnsi="Wingdings" w:hint="default"/>
        <w:sz w:val="20"/>
      </w:rPr>
    </w:lvl>
    <w:lvl w:ilvl="1" w:tplc="3D3A6CE2" w:tentative="1">
      <w:start w:val="1"/>
      <w:numFmt w:val="bullet"/>
      <w:lvlText w:val=""/>
      <w:lvlJc w:val="left"/>
      <w:pPr>
        <w:tabs>
          <w:tab w:val="num" w:pos="1440"/>
        </w:tabs>
        <w:ind w:left="1440" w:hanging="360"/>
      </w:pPr>
      <w:rPr>
        <w:rFonts w:ascii="Wingdings" w:hAnsi="Wingdings" w:hint="default"/>
        <w:sz w:val="20"/>
      </w:rPr>
    </w:lvl>
    <w:lvl w:ilvl="2" w:tplc="8D8E0ACA" w:tentative="1">
      <w:start w:val="1"/>
      <w:numFmt w:val="bullet"/>
      <w:lvlText w:val=""/>
      <w:lvlJc w:val="left"/>
      <w:pPr>
        <w:tabs>
          <w:tab w:val="num" w:pos="2160"/>
        </w:tabs>
        <w:ind w:left="2160" w:hanging="360"/>
      </w:pPr>
      <w:rPr>
        <w:rFonts w:ascii="Wingdings" w:hAnsi="Wingdings" w:hint="default"/>
        <w:sz w:val="20"/>
      </w:rPr>
    </w:lvl>
    <w:lvl w:ilvl="3" w:tplc="38B26D7C" w:tentative="1">
      <w:start w:val="1"/>
      <w:numFmt w:val="bullet"/>
      <w:lvlText w:val=""/>
      <w:lvlJc w:val="left"/>
      <w:pPr>
        <w:tabs>
          <w:tab w:val="num" w:pos="2880"/>
        </w:tabs>
        <w:ind w:left="2880" w:hanging="360"/>
      </w:pPr>
      <w:rPr>
        <w:rFonts w:ascii="Wingdings" w:hAnsi="Wingdings" w:hint="default"/>
        <w:sz w:val="20"/>
      </w:rPr>
    </w:lvl>
    <w:lvl w:ilvl="4" w:tplc="87101386" w:tentative="1">
      <w:start w:val="1"/>
      <w:numFmt w:val="bullet"/>
      <w:lvlText w:val=""/>
      <w:lvlJc w:val="left"/>
      <w:pPr>
        <w:tabs>
          <w:tab w:val="num" w:pos="3600"/>
        </w:tabs>
        <w:ind w:left="3600" w:hanging="360"/>
      </w:pPr>
      <w:rPr>
        <w:rFonts w:ascii="Wingdings" w:hAnsi="Wingdings" w:hint="default"/>
        <w:sz w:val="20"/>
      </w:rPr>
    </w:lvl>
    <w:lvl w:ilvl="5" w:tplc="83FAB538" w:tentative="1">
      <w:start w:val="1"/>
      <w:numFmt w:val="bullet"/>
      <w:lvlText w:val=""/>
      <w:lvlJc w:val="left"/>
      <w:pPr>
        <w:tabs>
          <w:tab w:val="num" w:pos="4320"/>
        </w:tabs>
        <w:ind w:left="4320" w:hanging="360"/>
      </w:pPr>
      <w:rPr>
        <w:rFonts w:ascii="Wingdings" w:hAnsi="Wingdings" w:hint="default"/>
        <w:sz w:val="20"/>
      </w:rPr>
    </w:lvl>
    <w:lvl w:ilvl="6" w:tplc="A79449A4" w:tentative="1">
      <w:start w:val="1"/>
      <w:numFmt w:val="bullet"/>
      <w:lvlText w:val=""/>
      <w:lvlJc w:val="left"/>
      <w:pPr>
        <w:tabs>
          <w:tab w:val="num" w:pos="5040"/>
        </w:tabs>
        <w:ind w:left="5040" w:hanging="360"/>
      </w:pPr>
      <w:rPr>
        <w:rFonts w:ascii="Wingdings" w:hAnsi="Wingdings" w:hint="default"/>
        <w:sz w:val="20"/>
      </w:rPr>
    </w:lvl>
    <w:lvl w:ilvl="7" w:tplc="68DC5E70" w:tentative="1">
      <w:start w:val="1"/>
      <w:numFmt w:val="bullet"/>
      <w:lvlText w:val=""/>
      <w:lvlJc w:val="left"/>
      <w:pPr>
        <w:tabs>
          <w:tab w:val="num" w:pos="5760"/>
        </w:tabs>
        <w:ind w:left="5760" w:hanging="360"/>
      </w:pPr>
      <w:rPr>
        <w:rFonts w:ascii="Wingdings" w:hAnsi="Wingdings" w:hint="default"/>
        <w:sz w:val="20"/>
      </w:rPr>
    </w:lvl>
    <w:lvl w:ilvl="8" w:tplc="778A4B4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FE2EB3"/>
    <w:multiLevelType w:val="hybridMultilevel"/>
    <w:tmpl w:val="6C30D7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D7735B"/>
    <w:multiLevelType w:val="hybridMultilevel"/>
    <w:tmpl w:val="772E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244A44"/>
    <w:multiLevelType w:val="hybridMultilevel"/>
    <w:tmpl w:val="CAA2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7"/>
  </w:num>
  <w:num w:numId="3">
    <w:abstractNumId w:val="15"/>
  </w:num>
  <w:num w:numId="4">
    <w:abstractNumId w:val="44"/>
  </w:num>
  <w:num w:numId="5">
    <w:abstractNumId w:val="9"/>
  </w:num>
  <w:num w:numId="6">
    <w:abstractNumId w:val="39"/>
  </w:num>
  <w:num w:numId="7">
    <w:abstractNumId w:val="8"/>
  </w:num>
  <w:num w:numId="8">
    <w:abstractNumId w:val="34"/>
  </w:num>
  <w:num w:numId="9">
    <w:abstractNumId w:val="18"/>
  </w:num>
  <w:num w:numId="10">
    <w:abstractNumId w:val="10"/>
  </w:num>
  <w:num w:numId="11">
    <w:abstractNumId w:val="17"/>
  </w:num>
  <w:num w:numId="12">
    <w:abstractNumId w:val="25"/>
  </w:num>
  <w:num w:numId="13">
    <w:abstractNumId w:val="24"/>
  </w:num>
  <w:num w:numId="14">
    <w:abstractNumId w:val="27"/>
  </w:num>
  <w:num w:numId="15">
    <w:abstractNumId w:val="30"/>
  </w:num>
  <w:num w:numId="16">
    <w:abstractNumId w:val="4"/>
  </w:num>
  <w:num w:numId="17">
    <w:abstractNumId w:val="20"/>
  </w:num>
  <w:num w:numId="18">
    <w:abstractNumId w:val="37"/>
  </w:num>
  <w:num w:numId="19">
    <w:abstractNumId w:val="12"/>
  </w:num>
  <w:num w:numId="20">
    <w:abstractNumId w:val="29"/>
  </w:num>
  <w:num w:numId="21">
    <w:abstractNumId w:val="35"/>
  </w:num>
  <w:num w:numId="22">
    <w:abstractNumId w:val="14"/>
  </w:num>
  <w:num w:numId="23">
    <w:abstractNumId w:val="11"/>
  </w:num>
  <w:num w:numId="24">
    <w:abstractNumId w:val="36"/>
  </w:num>
  <w:num w:numId="25">
    <w:abstractNumId w:val="16"/>
  </w:num>
  <w:num w:numId="26">
    <w:abstractNumId w:val="6"/>
  </w:num>
  <w:num w:numId="27">
    <w:abstractNumId w:val="21"/>
  </w:num>
  <w:num w:numId="28">
    <w:abstractNumId w:val="19"/>
  </w:num>
  <w:num w:numId="29">
    <w:abstractNumId w:val="22"/>
  </w:num>
  <w:num w:numId="30">
    <w:abstractNumId w:val="33"/>
  </w:num>
  <w:num w:numId="31">
    <w:abstractNumId w:val="41"/>
  </w:num>
  <w:num w:numId="32">
    <w:abstractNumId w:val="42"/>
  </w:num>
  <w:num w:numId="33">
    <w:abstractNumId w:val="13"/>
  </w:num>
  <w:num w:numId="34">
    <w:abstractNumId w:val="3"/>
  </w:num>
  <w:num w:numId="35">
    <w:abstractNumId w:val="32"/>
  </w:num>
  <w:num w:numId="36">
    <w:abstractNumId w:val="31"/>
  </w:num>
  <w:num w:numId="37">
    <w:abstractNumId w:val="26"/>
  </w:num>
  <w:num w:numId="38">
    <w:abstractNumId w:val="43"/>
  </w:num>
  <w:num w:numId="39">
    <w:abstractNumId w:val="5"/>
  </w:num>
  <w:num w:numId="40">
    <w:abstractNumId w:val="23"/>
  </w:num>
  <w:num w:numId="41">
    <w:abstractNumId w:val="45"/>
  </w:num>
  <w:num w:numId="42">
    <w:abstractNumId w:val="0"/>
  </w:num>
  <w:num w:numId="43">
    <w:abstractNumId w:val="28"/>
  </w:num>
  <w:num w:numId="44">
    <w:abstractNumId w:val="38"/>
  </w:num>
  <w:num w:numId="45">
    <w:abstractNumId w:val="1"/>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FC"/>
    <w:rsid w:val="00005556"/>
    <w:rsid w:val="000078FD"/>
    <w:rsid w:val="000126AC"/>
    <w:rsid w:val="00016839"/>
    <w:rsid w:val="00017A44"/>
    <w:rsid w:val="00021B49"/>
    <w:rsid w:val="000221E0"/>
    <w:rsid w:val="00023CFC"/>
    <w:rsid w:val="00026E82"/>
    <w:rsid w:val="00034730"/>
    <w:rsid w:val="0004519C"/>
    <w:rsid w:val="0006648F"/>
    <w:rsid w:val="00073701"/>
    <w:rsid w:val="0007480D"/>
    <w:rsid w:val="00076645"/>
    <w:rsid w:val="00080E76"/>
    <w:rsid w:val="000846D6"/>
    <w:rsid w:val="0008706F"/>
    <w:rsid w:val="00087A28"/>
    <w:rsid w:val="00095E50"/>
    <w:rsid w:val="000A0629"/>
    <w:rsid w:val="000A0E94"/>
    <w:rsid w:val="000A35C6"/>
    <w:rsid w:val="000B0938"/>
    <w:rsid w:val="000B0F7D"/>
    <w:rsid w:val="000B3130"/>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46"/>
    <w:rsid w:val="00126021"/>
    <w:rsid w:val="0012723C"/>
    <w:rsid w:val="00134D8D"/>
    <w:rsid w:val="00136A97"/>
    <w:rsid w:val="00137365"/>
    <w:rsid w:val="00140C2B"/>
    <w:rsid w:val="00143EDB"/>
    <w:rsid w:val="00150E02"/>
    <w:rsid w:val="00160969"/>
    <w:rsid w:val="00160F21"/>
    <w:rsid w:val="0016537A"/>
    <w:rsid w:val="001658B6"/>
    <w:rsid w:val="00171A70"/>
    <w:rsid w:val="0017272D"/>
    <w:rsid w:val="00175FCC"/>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4645"/>
    <w:rsid w:val="001F792C"/>
    <w:rsid w:val="00205DE4"/>
    <w:rsid w:val="0020648D"/>
    <w:rsid w:val="00207063"/>
    <w:rsid w:val="00220C28"/>
    <w:rsid w:val="00220D75"/>
    <w:rsid w:val="0022173F"/>
    <w:rsid w:val="00221F98"/>
    <w:rsid w:val="00222732"/>
    <w:rsid w:val="00224E61"/>
    <w:rsid w:val="0023261D"/>
    <w:rsid w:val="002375DE"/>
    <w:rsid w:val="00246779"/>
    <w:rsid w:val="00262C31"/>
    <w:rsid w:val="002638DC"/>
    <w:rsid w:val="00263CE0"/>
    <w:rsid w:val="002678E9"/>
    <w:rsid w:val="00282909"/>
    <w:rsid w:val="00292D76"/>
    <w:rsid w:val="00297C2A"/>
    <w:rsid w:val="002A71CC"/>
    <w:rsid w:val="002B1097"/>
    <w:rsid w:val="002B1860"/>
    <w:rsid w:val="002B3AC4"/>
    <w:rsid w:val="002B44C0"/>
    <w:rsid w:val="002B59FC"/>
    <w:rsid w:val="002C76AB"/>
    <w:rsid w:val="002C7A86"/>
    <w:rsid w:val="002D28DF"/>
    <w:rsid w:val="002E0713"/>
    <w:rsid w:val="002F119A"/>
    <w:rsid w:val="002F204D"/>
    <w:rsid w:val="002F2F32"/>
    <w:rsid w:val="0030193E"/>
    <w:rsid w:val="00301D8F"/>
    <w:rsid w:val="00321F38"/>
    <w:rsid w:val="00330ACB"/>
    <w:rsid w:val="00331394"/>
    <w:rsid w:val="003317A8"/>
    <w:rsid w:val="003353C5"/>
    <w:rsid w:val="003454E5"/>
    <w:rsid w:val="00347F97"/>
    <w:rsid w:val="00354173"/>
    <w:rsid w:val="003616AC"/>
    <w:rsid w:val="00366270"/>
    <w:rsid w:val="00370ED0"/>
    <w:rsid w:val="00373610"/>
    <w:rsid w:val="00375A18"/>
    <w:rsid w:val="00386024"/>
    <w:rsid w:val="003910F3"/>
    <w:rsid w:val="0039752D"/>
    <w:rsid w:val="003A0397"/>
    <w:rsid w:val="003A4DD4"/>
    <w:rsid w:val="003A6E33"/>
    <w:rsid w:val="003C3EF6"/>
    <w:rsid w:val="003C56E7"/>
    <w:rsid w:val="003D120B"/>
    <w:rsid w:val="003D4CCB"/>
    <w:rsid w:val="003D5759"/>
    <w:rsid w:val="003E45AC"/>
    <w:rsid w:val="00405D3E"/>
    <w:rsid w:val="00405E4F"/>
    <w:rsid w:val="00411497"/>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B0960"/>
    <w:rsid w:val="004B53CD"/>
    <w:rsid w:val="004B5D5B"/>
    <w:rsid w:val="004B7829"/>
    <w:rsid w:val="004C0C7A"/>
    <w:rsid w:val="004C0F5B"/>
    <w:rsid w:val="004D28D9"/>
    <w:rsid w:val="004D37D9"/>
    <w:rsid w:val="004D3D04"/>
    <w:rsid w:val="004D6AA7"/>
    <w:rsid w:val="004D7D44"/>
    <w:rsid w:val="004E1C64"/>
    <w:rsid w:val="004E717F"/>
    <w:rsid w:val="004F21A0"/>
    <w:rsid w:val="004F4242"/>
    <w:rsid w:val="00500B8F"/>
    <w:rsid w:val="00514128"/>
    <w:rsid w:val="00521CF6"/>
    <w:rsid w:val="00526017"/>
    <w:rsid w:val="0053247E"/>
    <w:rsid w:val="00532BE2"/>
    <w:rsid w:val="0055292D"/>
    <w:rsid w:val="00561C6E"/>
    <w:rsid w:val="00562761"/>
    <w:rsid w:val="0056287D"/>
    <w:rsid w:val="00564475"/>
    <w:rsid w:val="005676B7"/>
    <w:rsid w:val="00572669"/>
    <w:rsid w:val="00574039"/>
    <w:rsid w:val="00577F0A"/>
    <w:rsid w:val="00581F13"/>
    <w:rsid w:val="0058599E"/>
    <w:rsid w:val="00590414"/>
    <w:rsid w:val="005B0C70"/>
    <w:rsid w:val="005B44AE"/>
    <w:rsid w:val="005B4BAC"/>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7A9E"/>
    <w:rsid w:val="0069387A"/>
    <w:rsid w:val="006939E5"/>
    <w:rsid w:val="006B0D7D"/>
    <w:rsid w:val="006B379A"/>
    <w:rsid w:val="006B6253"/>
    <w:rsid w:val="006C14EE"/>
    <w:rsid w:val="006C2A1C"/>
    <w:rsid w:val="006E008A"/>
    <w:rsid w:val="006E374B"/>
    <w:rsid w:val="006E50C0"/>
    <w:rsid w:val="006F7969"/>
    <w:rsid w:val="007043CA"/>
    <w:rsid w:val="0072243C"/>
    <w:rsid w:val="007237FA"/>
    <w:rsid w:val="00732A91"/>
    <w:rsid w:val="00736EC8"/>
    <w:rsid w:val="00737980"/>
    <w:rsid w:val="00741D94"/>
    <w:rsid w:val="007467DF"/>
    <w:rsid w:val="00756A61"/>
    <w:rsid w:val="00757BC3"/>
    <w:rsid w:val="00760F98"/>
    <w:rsid w:val="00762481"/>
    <w:rsid w:val="0076444F"/>
    <w:rsid w:val="007872BC"/>
    <w:rsid w:val="00790CC5"/>
    <w:rsid w:val="00795F4A"/>
    <w:rsid w:val="007A377A"/>
    <w:rsid w:val="007B1D32"/>
    <w:rsid w:val="007B6E3E"/>
    <w:rsid w:val="007C73DE"/>
    <w:rsid w:val="007D1AFF"/>
    <w:rsid w:val="007D609D"/>
    <w:rsid w:val="007D669F"/>
    <w:rsid w:val="007E1950"/>
    <w:rsid w:val="007E7ECF"/>
    <w:rsid w:val="007F0E84"/>
    <w:rsid w:val="007F17B1"/>
    <w:rsid w:val="007F321F"/>
    <w:rsid w:val="007F338A"/>
    <w:rsid w:val="007F5A8E"/>
    <w:rsid w:val="007F6387"/>
    <w:rsid w:val="007F6E52"/>
    <w:rsid w:val="00801C0C"/>
    <w:rsid w:val="00806C5D"/>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BC8"/>
    <w:rsid w:val="0089745E"/>
    <w:rsid w:val="00897ABC"/>
    <w:rsid w:val="008A05DD"/>
    <w:rsid w:val="008A7731"/>
    <w:rsid w:val="008B4CA7"/>
    <w:rsid w:val="008B7489"/>
    <w:rsid w:val="008C5194"/>
    <w:rsid w:val="008D30E6"/>
    <w:rsid w:val="008D3564"/>
    <w:rsid w:val="00901824"/>
    <w:rsid w:val="009069C2"/>
    <w:rsid w:val="009140FD"/>
    <w:rsid w:val="009241DC"/>
    <w:rsid w:val="009320AA"/>
    <w:rsid w:val="00932702"/>
    <w:rsid w:val="00943BD6"/>
    <w:rsid w:val="0094517E"/>
    <w:rsid w:val="00962B37"/>
    <w:rsid w:val="009630CC"/>
    <w:rsid w:val="0096330D"/>
    <w:rsid w:val="00970EB1"/>
    <w:rsid w:val="00971A5E"/>
    <w:rsid w:val="009754EA"/>
    <w:rsid w:val="00977755"/>
    <w:rsid w:val="00977835"/>
    <w:rsid w:val="00981574"/>
    <w:rsid w:val="00981585"/>
    <w:rsid w:val="00996BB9"/>
    <w:rsid w:val="009A7E33"/>
    <w:rsid w:val="009B458C"/>
    <w:rsid w:val="009B5C03"/>
    <w:rsid w:val="009C2FED"/>
    <w:rsid w:val="009D264E"/>
    <w:rsid w:val="009D3593"/>
    <w:rsid w:val="009E1FC3"/>
    <w:rsid w:val="009E46C4"/>
    <w:rsid w:val="009E586C"/>
    <w:rsid w:val="009F59E4"/>
    <w:rsid w:val="00A07E43"/>
    <w:rsid w:val="00A11046"/>
    <w:rsid w:val="00A15619"/>
    <w:rsid w:val="00A16DAE"/>
    <w:rsid w:val="00A20D92"/>
    <w:rsid w:val="00A21FED"/>
    <w:rsid w:val="00A33BE1"/>
    <w:rsid w:val="00A37BD6"/>
    <w:rsid w:val="00A40455"/>
    <w:rsid w:val="00A44F1C"/>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2957"/>
    <w:rsid w:val="00B15587"/>
    <w:rsid w:val="00B22E7C"/>
    <w:rsid w:val="00B3093B"/>
    <w:rsid w:val="00B33201"/>
    <w:rsid w:val="00B33603"/>
    <w:rsid w:val="00B400BE"/>
    <w:rsid w:val="00B609BD"/>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02F1"/>
    <w:rsid w:val="00BF15B3"/>
    <w:rsid w:val="00BF2BCE"/>
    <w:rsid w:val="00C00762"/>
    <w:rsid w:val="00C05B41"/>
    <w:rsid w:val="00C068DB"/>
    <w:rsid w:val="00C07FF8"/>
    <w:rsid w:val="00C14F52"/>
    <w:rsid w:val="00C153DF"/>
    <w:rsid w:val="00C23B65"/>
    <w:rsid w:val="00C30408"/>
    <w:rsid w:val="00C335FE"/>
    <w:rsid w:val="00C3365A"/>
    <w:rsid w:val="00C36CC2"/>
    <w:rsid w:val="00C44A8F"/>
    <w:rsid w:val="00C46EEC"/>
    <w:rsid w:val="00C5538B"/>
    <w:rsid w:val="00C6589D"/>
    <w:rsid w:val="00C7029F"/>
    <w:rsid w:val="00C71212"/>
    <w:rsid w:val="00C801FC"/>
    <w:rsid w:val="00C82C06"/>
    <w:rsid w:val="00C866F7"/>
    <w:rsid w:val="00C87AFC"/>
    <w:rsid w:val="00C90AD7"/>
    <w:rsid w:val="00C94E0B"/>
    <w:rsid w:val="00CA0F50"/>
    <w:rsid w:val="00CA6785"/>
    <w:rsid w:val="00CC2512"/>
    <w:rsid w:val="00CC278F"/>
    <w:rsid w:val="00CC416B"/>
    <w:rsid w:val="00CD14D0"/>
    <w:rsid w:val="00CD409E"/>
    <w:rsid w:val="00D00C94"/>
    <w:rsid w:val="00D01FCD"/>
    <w:rsid w:val="00D05ABC"/>
    <w:rsid w:val="00D1037C"/>
    <w:rsid w:val="00D137F7"/>
    <w:rsid w:val="00D1473D"/>
    <w:rsid w:val="00D201D5"/>
    <w:rsid w:val="00D258E9"/>
    <w:rsid w:val="00D276D6"/>
    <w:rsid w:val="00D33A2A"/>
    <w:rsid w:val="00D35718"/>
    <w:rsid w:val="00D40AC5"/>
    <w:rsid w:val="00D43B6D"/>
    <w:rsid w:val="00D51191"/>
    <w:rsid w:val="00D56177"/>
    <w:rsid w:val="00D60729"/>
    <w:rsid w:val="00D66F40"/>
    <w:rsid w:val="00D7198E"/>
    <w:rsid w:val="00D744FA"/>
    <w:rsid w:val="00D8185C"/>
    <w:rsid w:val="00D8605F"/>
    <w:rsid w:val="00D8690A"/>
    <w:rsid w:val="00D870FE"/>
    <w:rsid w:val="00D96149"/>
    <w:rsid w:val="00DA16E8"/>
    <w:rsid w:val="00DA36B9"/>
    <w:rsid w:val="00DA387D"/>
    <w:rsid w:val="00DA6CA7"/>
    <w:rsid w:val="00DB07EE"/>
    <w:rsid w:val="00DB7158"/>
    <w:rsid w:val="00DC0DCD"/>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2A8D"/>
    <w:rsid w:val="00E271FD"/>
    <w:rsid w:val="00E27CC1"/>
    <w:rsid w:val="00E32003"/>
    <w:rsid w:val="00E36457"/>
    <w:rsid w:val="00E40457"/>
    <w:rsid w:val="00E47F45"/>
    <w:rsid w:val="00E549CF"/>
    <w:rsid w:val="00E562D0"/>
    <w:rsid w:val="00E60CC0"/>
    <w:rsid w:val="00E62766"/>
    <w:rsid w:val="00E70863"/>
    <w:rsid w:val="00E71C0D"/>
    <w:rsid w:val="00E725B6"/>
    <w:rsid w:val="00E7353D"/>
    <w:rsid w:val="00E766C6"/>
    <w:rsid w:val="00E80B5C"/>
    <w:rsid w:val="00E828F9"/>
    <w:rsid w:val="00E90C00"/>
    <w:rsid w:val="00E97E92"/>
    <w:rsid w:val="00EB20A7"/>
    <w:rsid w:val="00EC2402"/>
    <w:rsid w:val="00EC429B"/>
    <w:rsid w:val="00EC4FDB"/>
    <w:rsid w:val="00ED52F5"/>
    <w:rsid w:val="00ED5B9E"/>
    <w:rsid w:val="00EE58CC"/>
    <w:rsid w:val="00EE7A2D"/>
    <w:rsid w:val="00EF11FF"/>
    <w:rsid w:val="00EF5E2B"/>
    <w:rsid w:val="00EF6FAB"/>
    <w:rsid w:val="00F0712A"/>
    <w:rsid w:val="00F071DC"/>
    <w:rsid w:val="00F11CB7"/>
    <w:rsid w:val="00F1221F"/>
    <w:rsid w:val="00F22775"/>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0E88"/>
    <w:rsid w:val="00FB1139"/>
    <w:rsid w:val="00FB2262"/>
    <w:rsid w:val="00FB2965"/>
    <w:rsid w:val="00FC0DC5"/>
    <w:rsid w:val="00FC3EDE"/>
    <w:rsid w:val="4E55E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597E8E"/>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tabs>
        <w:tab w:val="num" w:pos="360"/>
      </w:tabs>
      <w:ind w:left="0" w:firstLine="0"/>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paragraph" w:customStyle="1" w:styleId="p1">
    <w:name w:val="p1"/>
    <w:basedOn w:val="Normal"/>
    <w:rsid w:val="00FB0E88"/>
    <w:rPr>
      <w:rFonts w:ascii="Verdana" w:eastAsiaTheme="minorHAnsi" w:hAnsi="Verdana"/>
      <w:color w:val="1B1B1B"/>
      <w:sz w:val="20"/>
      <w:szCs w:val="20"/>
    </w:rPr>
  </w:style>
  <w:style w:type="character" w:customStyle="1" w:styleId="s1">
    <w:name w:val="s1"/>
    <w:basedOn w:val="DefaultParagraphFont"/>
    <w:rsid w:val="00FB0E88"/>
  </w:style>
  <w:style w:type="paragraph" w:styleId="NoSpacing">
    <w:name w:val="No Spacing"/>
    <w:uiPriority w:val="1"/>
    <w:qFormat/>
    <w:rsid w:val="00FB0E88"/>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F22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91318">
      <w:bodyDiv w:val="1"/>
      <w:marLeft w:val="0"/>
      <w:marRight w:val="0"/>
      <w:marTop w:val="0"/>
      <w:marBottom w:val="0"/>
      <w:divBdr>
        <w:top w:val="none" w:sz="0" w:space="0" w:color="auto"/>
        <w:left w:val="none" w:sz="0" w:space="0" w:color="auto"/>
        <w:bottom w:val="none" w:sz="0" w:space="0" w:color="auto"/>
        <w:right w:val="none" w:sz="0" w:space="0" w:color="auto"/>
      </w:divBdr>
    </w:div>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644353771">
      <w:bodyDiv w:val="1"/>
      <w:marLeft w:val="0"/>
      <w:marRight w:val="0"/>
      <w:marTop w:val="0"/>
      <w:marBottom w:val="0"/>
      <w:divBdr>
        <w:top w:val="none" w:sz="0" w:space="0" w:color="auto"/>
        <w:left w:val="none" w:sz="0" w:space="0" w:color="auto"/>
        <w:bottom w:val="none" w:sz="0" w:space="0" w:color="auto"/>
        <w:right w:val="none" w:sz="0" w:space="0" w:color="auto"/>
      </w:divBdr>
    </w:div>
    <w:div w:id="777405321">
      <w:bodyDiv w:val="1"/>
      <w:marLeft w:val="0"/>
      <w:marRight w:val="0"/>
      <w:marTop w:val="0"/>
      <w:marBottom w:val="0"/>
      <w:divBdr>
        <w:top w:val="none" w:sz="0" w:space="0" w:color="auto"/>
        <w:left w:val="none" w:sz="0" w:space="0" w:color="auto"/>
        <w:bottom w:val="none" w:sz="0" w:space="0" w:color="auto"/>
        <w:right w:val="none" w:sz="0" w:space="0" w:color="auto"/>
      </w:divBdr>
    </w:div>
    <w:div w:id="899483970">
      <w:bodyDiv w:val="1"/>
      <w:marLeft w:val="0"/>
      <w:marRight w:val="0"/>
      <w:marTop w:val="0"/>
      <w:marBottom w:val="0"/>
      <w:divBdr>
        <w:top w:val="none" w:sz="0" w:space="0" w:color="auto"/>
        <w:left w:val="none" w:sz="0" w:space="0" w:color="auto"/>
        <w:bottom w:val="none" w:sz="0" w:space="0" w:color="auto"/>
        <w:right w:val="none" w:sz="0" w:space="0" w:color="auto"/>
      </w:divBdr>
    </w:div>
    <w:div w:id="1117602082">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218858500">
      <w:bodyDiv w:val="1"/>
      <w:marLeft w:val="0"/>
      <w:marRight w:val="0"/>
      <w:marTop w:val="0"/>
      <w:marBottom w:val="0"/>
      <w:divBdr>
        <w:top w:val="none" w:sz="0" w:space="0" w:color="auto"/>
        <w:left w:val="none" w:sz="0" w:space="0" w:color="auto"/>
        <w:bottom w:val="none" w:sz="0" w:space="0" w:color="auto"/>
        <w:right w:val="none" w:sz="0" w:space="0" w:color="auto"/>
      </w:divBdr>
    </w:div>
    <w:div w:id="1318999115">
      <w:bodyDiv w:val="1"/>
      <w:marLeft w:val="0"/>
      <w:marRight w:val="0"/>
      <w:marTop w:val="0"/>
      <w:marBottom w:val="0"/>
      <w:divBdr>
        <w:top w:val="none" w:sz="0" w:space="0" w:color="auto"/>
        <w:left w:val="none" w:sz="0" w:space="0" w:color="auto"/>
        <w:bottom w:val="none" w:sz="0" w:space="0" w:color="auto"/>
        <w:right w:val="none" w:sz="0" w:space="0" w:color="auto"/>
      </w:divBdr>
    </w:div>
    <w:div w:id="1789741159">
      <w:bodyDiv w:val="1"/>
      <w:marLeft w:val="0"/>
      <w:marRight w:val="0"/>
      <w:marTop w:val="0"/>
      <w:marBottom w:val="0"/>
      <w:divBdr>
        <w:top w:val="none" w:sz="0" w:space="0" w:color="auto"/>
        <w:left w:val="none" w:sz="0" w:space="0" w:color="auto"/>
        <w:bottom w:val="none" w:sz="0" w:space="0" w:color="auto"/>
        <w:right w:val="none" w:sz="0" w:space="0" w:color="auto"/>
      </w:divBdr>
    </w:div>
    <w:div w:id="1896618518">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chcoc.gov/content/continued-pay-freeze-certain-senior-political-officials-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Lucida Grande"/>
    <w:charset w:val="00"/>
    <w:family w:val="swiss"/>
    <w:pitch w:val="variable"/>
    <w:sig w:usb0="E1000AEF" w:usb1="5000A1FF" w:usb2="00000000" w:usb3="00000000" w:csb0="000001BF" w:csb1="00000000"/>
  </w:font>
  <w:font w:name="Georgia">
    <w:altName w:val="﷽﷽﷽﷽﷽﷽﷽﷽Ƙ怀"/>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6FF" w:usb1="420024FF" w:usb2="02000000" w:usb3="00000000" w:csb0="0000019F" w:csb1="00000000"/>
  </w:font>
  <w:font w:name="GothamNarrow-Book">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B07EE"/>
    <w:rsid w:val="00005FC4"/>
    <w:rsid w:val="00007C6D"/>
    <w:rsid w:val="000D6679"/>
    <w:rsid w:val="001C76A9"/>
    <w:rsid w:val="001E4D58"/>
    <w:rsid w:val="005B3992"/>
    <w:rsid w:val="005E3561"/>
    <w:rsid w:val="00672DF4"/>
    <w:rsid w:val="008638AA"/>
    <w:rsid w:val="0087154F"/>
    <w:rsid w:val="008F1F7B"/>
    <w:rsid w:val="008F5F77"/>
    <w:rsid w:val="00A9166C"/>
    <w:rsid w:val="00AC054C"/>
    <w:rsid w:val="00AC0DBB"/>
    <w:rsid w:val="00BB64E1"/>
    <w:rsid w:val="00BE0041"/>
    <w:rsid w:val="00C36CDA"/>
    <w:rsid w:val="00D4302A"/>
    <w:rsid w:val="00D900A9"/>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BC4CA362E03A40831C58E77BF6E65D" ma:contentTypeVersion="12" ma:contentTypeDescription="Create a new document." ma:contentTypeScope="" ma:versionID="5ce5c90880750d31e5ad97353da55926">
  <xsd:schema xmlns:xsd="http://www.w3.org/2001/XMLSchema" xmlns:xs="http://www.w3.org/2001/XMLSchema" xmlns:p="http://schemas.microsoft.com/office/2006/metadata/properties" xmlns:ns2="b768acbd-dc7f-4a24-9e54-842e75727939" xmlns:ns3="54e98812-b12a-4504-b572-6fcfe8934f27" targetNamespace="http://schemas.microsoft.com/office/2006/metadata/properties" ma:root="true" ma:fieldsID="8f9a491fc33d5dc8f7c5c50092fd8108" ns2:_="" ns3:_="">
    <xsd:import namespace="b768acbd-dc7f-4a24-9e54-842e75727939"/>
    <xsd:import namespace="54e98812-b12a-4504-b572-6fcfe8934f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8acbd-dc7f-4a24-9e54-842e75727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98812-b12a-4504-b572-6fcfe8934f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013CAE-AEC5-48FF-BEB0-2EC6A3DFF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8acbd-dc7f-4a24-9e54-842e75727939"/>
    <ds:schemaRef ds:uri="54e98812-b12a-4504-b572-6fcfe8934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D23816-8B46-4404-B97C-F42799AF71D2}">
  <ds:schemaRefs>
    <ds:schemaRef ds:uri="http://purl.org/dc/dcmitype/"/>
    <ds:schemaRef ds:uri="http://schemas.microsoft.com/office/2006/documentManagement/types"/>
    <ds:schemaRef ds:uri="http://schemas.openxmlformats.org/package/2006/metadata/core-properties"/>
    <ds:schemaRef ds:uri="54e98812-b12a-4504-b572-6fcfe8934f27"/>
    <ds:schemaRef ds:uri="http://schemas.microsoft.com/office/2006/metadata/properties"/>
    <ds:schemaRef ds:uri="http://schemas.microsoft.com/office/infopath/2007/PartnerControls"/>
    <ds:schemaRef ds:uri="http://www.w3.org/XML/1998/namespace"/>
    <ds:schemaRef ds:uri="http://purl.org/dc/elements/1.1/"/>
    <ds:schemaRef ds:uri="b768acbd-dc7f-4a24-9e54-842e75727939"/>
    <ds:schemaRef ds:uri="http://purl.org/dc/terms/"/>
  </ds:schemaRefs>
</ds:datastoreItem>
</file>

<file path=customXml/itemProps3.xml><?xml version="1.0" encoding="utf-8"?>
<ds:datastoreItem xmlns:ds="http://schemas.openxmlformats.org/officeDocument/2006/customXml" ds:itemID="{5EC51D25-AC8B-491C-810D-36D9F853E433}">
  <ds:schemaRefs>
    <ds:schemaRef ds:uri="http://schemas.openxmlformats.org/officeDocument/2006/bibliography"/>
  </ds:schemaRefs>
</ds:datastoreItem>
</file>

<file path=customXml/itemProps4.xml><?xml version="1.0" encoding="utf-8"?>
<ds:datastoreItem xmlns:ds="http://schemas.openxmlformats.org/officeDocument/2006/customXml" ds:itemID="{B779089F-841C-4977-A267-76252DC3B5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1154</Words>
  <Characters>6579</Characters>
  <Application>Microsoft Office Word</Application>
  <DocSecurity>0</DocSecurity>
  <Lines>54</Lines>
  <Paragraphs>15</Paragraphs>
  <ScaleCrop>false</ScaleCrop>
  <Company/>
  <LinksUpToDate>false</LinksUpToDate>
  <CharactersWithSpaces>7718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Jaqlyn Alderete</cp:lastModifiedBy>
  <cp:revision>30</cp:revision>
  <cp:lastPrinted>2016-07-12T18:00:00Z</cp:lastPrinted>
  <dcterms:created xsi:type="dcterms:W3CDTF">2016-12-19T20:46:00Z</dcterms:created>
  <dcterms:modified xsi:type="dcterms:W3CDTF">2021-06-01T18:42:00Z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0x01010097BC4CA362E03A40831C58E77BF6E65D</vt:lpwstr>
  </property>
</Properties>
</file>